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286" w:rsidRPr="00123286" w:rsidRDefault="00AF3CF9" w:rsidP="00AF3CF9">
      <w:pPr>
        <w:spacing w:before="120" w:after="120"/>
        <w:rPr>
          <w:rFonts w:eastAsia="Times New Roman" w:cs="Times New Roman"/>
          <w:b/>
          <w:sz w:val="28"/>
          <w:szCs w:val="28"/>
        </w:rPr>
      </w:pPr>
      <w:r w:rsidRPr="00123286">
        <w:rPr>
          <w:rFonts w:eastAsia="Times New Roman" w:cs="Times New Roman"/>
          <w:b/>
          <w:sz w:val="28"/>
          <w:szCs w:val="28"/>
        </w:rPr>
        <w:t xml:space="preserve">ინფორმაცია </w:t>
      </w:r>
      <w:bookmarkStart w:id="0" w:name="_GoBack"/>
      <w:bookmarkEnd w:id="0"/>
    </w:p>
    <w:p w:rsidR="00FC0FCF" w:rsidRPr="00AF3CF9" w:rsidRDefault="00AF3CF9" w:rsidP="00AF3CF9">
      <w:pPr>
        <w:spacing w:before="120" w:after="120"/>
        <w:rPr>
          <w:rFonts w:eastAsia="Times New Roman" w:cs="Times New Roman"/>
          <w:b/>
        </w:rPr>
      </w:pPr>
      <w:r w:rsidRPr="00AF3CF9">
        <w:rPr>
          <w:rFonts w:eastAsia="Times New Roman" w:cs="Times New Roman"/>
          <w:b/>
        </w:rPr>
        <w:t>საქართველოს გარემოს დაცვისა და სოფლის მეურნეობის  სამინისტროს 11.12. 2019 წლის N12132/01 წერილში მოცემულ შენიშვნებზე რეაგირების შესახებ</w:t>
      </w:r>
    </w:p>
    <w:tbl>
      <w:tblPr>
        <w:tblStyle w:val="TableGrid"/>
        <w:tblW w:w="0" w:type="auto"/>
        <w:jc w:val="center"/>
        <w:tblLook w:val="04A0" w:firstRow="1" w:lastRow="0" w:firstColumn="1" w:lastColumn="0" w:noHBand="0" w:noVBand="1"/>
      </w:tblPr>
      <w:tblGrid>
        <w:gridCol w:w="5382"/>
        <w:gridCol w:w="4241"/>
      </w:tblGrid>
      <w:tr w:rsidR="00DF0B7E" w:rsidRPr="00C37BC7" w:rsidTr="002E0BA8">
        <w:trPr>
          <w:jc w:val="center"/>
        </w:trPr>
        <w:tc>
          <w:tcPr>
            <w:tcW w:w="5382" w:type="dxa"/>
            <w:vAlign w:val="center"/>
          </w:tcPr>
          <w:p w:rsidR="00DF0B7E" w:rsidRPr="00C37BC7" w:rsidRDefault="00C37BC7" w:rsidP="00DF0B7E">
            <w:pPr>
              <w:spacing w:before="120" w:after="120"/>
              <w:rPr>
                <w:rFonts w:eastAsia="Times New Roman" w:cs="Times New Roman"/>
                <w:b/>
                <w:sz w:val="20"/>
              </w:rPr>
            </w:pPr>
            <w:r>
              <w:rPr>
                <w:rFonts w:eastAsia="Times New Roman" w:cs="Times New Roman"/>
              </w:rPr>
              <w:t xml:space="preserve"> </w:t>
            </w:r>
            <w:r w:rsidR="00DF0B7E" w:rsidRPr="00C37BC7">
              <w:rPr>
                <w:rFonts w:eastAsia="Times New Roman" w:cs="Times New Roman"/>
                <w:b/>
                <w:sz w:val="20"/>
              </w:rPr>
              <w:t>საკითხი</w:t>
            </w:r>
          </w:p>
        </w:tc>
        <w:tc>
          <w:tcPr>
            <w:tcW w:w="4241" w:type="dxa"/>
            <w:vAlign w:val="center"/>
          </w:tcPr>
          <w:p w:rsidR="00DF0B7E" w:rsidRPr="00C37BC7" w:rsidRDefault="00DF0B7E" w:rsidP="003C1307">
            <w:pPr>
              <w:spacing w:before="120" w:after="120"/>
              <w:rPr>
                <w:rFonts w:eastAsia="Times New Roman" w:cs="Times New Roman"/>
                <w:b/>
                <w:sz w:val="20"/>
              </w:rPr>
            </w:pPr>
            <w:r w:rsidRPr="00C37BC7">
              <w:rPr>
                <w:rFonts w:eastAsia="Times New Roman" w:cs="Times New Roman"/>
                <w:b/>
                <w:sz w:val="20"/>
              </w:rPr>
              <w:t>რეაგირება</w:t>
            </w:r>
          </w:p>
        </w:tc>
      </w:tr>
      <w:tr w:rsidR="00DF0B7E" w:rsidRPr="00C37BC7" w:rsidTr="002E0BA8">
        <w:trPr>
          <w:jc w:val="center"/>
        </w:trPr>
        <w:tc>
          <w:tcPr>
            <w:tcW w:w="5382" w:type="dxa"/>
          </w:tcPr>
          <w:p w:rsidR="00DF0B7E" w:rsidRPr="00C37BC7" w:rsidRDefault="00DF0B7E" w:rsidP="00DF0B7E">
            <w:pPr>
              <w:spacing w:before="120" w:after="120"/>
              <w:jc w:val="both"/>
              <w:rPr>
                <w:rFonts w:eastAsia="Times New Roman" w:cs="Times New Roman"/>
                <w:sz w:val="20"/>
              </w:rPr>
            </w:pPr>
            <w:r w:rsidRPr="00C37BC7">
              <w:rPr>
                <w:rFonts w:eastAsia="Times New Roman" w:cs="Times New Roman"/>
                <w:sz w:val="20"/>
              </w:rPr>
              <w:t xml:space="preserve">წარმოდგენილი მონაცემების ელექტრონული გადამოწმების შედეგად დადგინდა, რომ შპს „ჯეოსთილის“ საწარმოს მიმდებარედ ფიქსირდება უახლოესი საცხოვრებელი ობიექტი - ამხანაგობა „ერთგულება“, შესაბამისად დასაზუსტებელია არსებული და საპროექტო საწარმოს ტერიტორიიდან მანძილი უახლოეს მოსახლემდე </w:t>
            </w:r>
          </w:p>
        </w:tc>
        <w:tc>
          <w:tcPr>
            <w:tcW w:w="4241" w:type="dxa"/>
            <w:vAlign w:val="center"/>
          </w:tcPr>
          <w:p w:rsidR="00DF0B7E" w:rsidRPr="00C37BC7" w:rsidRDefault="00DF0B7E" w:rsidP="003C1307">
            <w:pPr>
              <w:spacing w:before="120" w:after="120"/>
              <w:rPr>
                <w:rFonts w:eastAsia="Times New Roman" w:cs="Times New Roman"/>
                <w:sz w:val="20"/>
              </w:rPr>
            </w:pPr>
            <w:r w:rsidRPr="00C37BC7">
              <w:rPr>
                <w:rFonts w:eastAsia="Times New Roman" w:cs="Times New Roman"/>
                <w:sz w:val="20"/>
              </w:rPr>
              <w:t>იხილეთ სკოპინგის ანგარიშის პარაგრაფი</w:t>
            </w:r>
            <w:r w:rsidR="00C37BC7">
              <w:rPr>
                <w:rFonts w:eastAsia="Times New Roman" w:cs="Times New Roman"/>
                <w:sz w:val="20"/>
              </w:rPr>
              <w:t xml:space="preserve"> 3.1</w:t>
            </w:r>
          </w:p>
        </w:tc>
      </w:tr>
      <w:tr w:rsidR="00DF0B7E" w:rsidRPr="00C37BC7" w:rsidTr="002E0BA8">
        <w:trPr>
          <w:jc w:val="center"/>
        </w:trPr>
        <w:tc>
          <w:tcPr>
            <w:tcW w:w="5382" w:type="dxa"/>
          </w:tcPr>
          <w:p w:rsidR="00DF0B7E" w:rsidRPr="00C37BC7" w:rsidRDefault="00DF0B7E" w:rsidP="008B3AE9">
            <w:pPr>
              <w:spacing w:before="120" w:after="120"/>
              <w:jc w:val="both"/>
              <w:rPr>
                <w:rFonts w:eastAsia="Times New Roman" w:cs="Times New Roman"/>
                <w:sz w:val="20"/>
              </w:rPr>
            </w:pPr>
            <w:r w:rsidRPr="00C37BC7">
              <w:rPr>
                <w:rFonts w:eastAsia="Times New Roman" w:cs="Times New Roman"/>
                <w:sz w:val="20"/>
              </w:rPr>
              <w:t>დასაზუსტებელია საპროექტო ტერიტორიის ფართობი;</w:t>
            </w:r>
          </w:p>
        </w:tc>
        <w:tc>
          <w:tcPr>
            <w:tcW w:w="4241" w:type="dxa"/>
            <w:vAlign w:val="center"/>
          </w:tcPr>
          <w:p w:rsidR="00DF0B7E" w:rsidRPr="00C37BC7" w:rsidRDefault="005454AB" w:rsidP="003C1307">
            <w:pPr>
              <w:spacing w:before="120" w:after="120"/>
              <w:rPr>
                <w:rFonts w:eastAsia="Times New Roman" w:cs="Times New Roman"/>
                <w:sz w:val="20"/>
              </w:rPr>
            </w:pPr>
            <w:r w:rsidRPr="00C37BC7">
              <w:rPr>
                <w:rFonts w:eastAsia="Times New Roman" w:cs="Times New Roman"/>
                <w:sz w:val="20"/>
              </w:rPr>
              <w:t>იხილეთ სკოპინგის ანგარიშის პარაგრაფი</w:t>
            </w:r>
            <w:r>
              <w:rPr>
                <w:rFonts w:eastAsia="Times New Roman" w:cs="Times New Roman"/>
                <w:sz w:val="20"/>
              </w:rPr>
              <w:t xml:space="preserve"> 3.1</w:t>
            </w:r>
          </w:p>
        </w:tc>
      </w:tr>
      <w:tr w:rsidR="00DF0B7E" w:rsidRPr="00C37BC7" w:rsidTr="002E0BA8">
        <w:trPr>
          <w:jc w:val="center"/>
        </w:trPr>
        <w:tc>
          <w:tcPr>
            <w:tcW w:w="5382" w:type="dxa"/>
          </w:tcPr>
          <w:p w:rsidR="00DF0B7E" w:rsidRPr="00C37BC7" w:rsidRDefault="00DF0B7E" w:rsidP="00DF0B7E">
            <w:pPr>
              <w:spacing w:before="120" w:after="120"/>
              <w:jc w:val="both"/>
              <w:rPr>
                <w:rFonts w:eastAsia="Times New Roman" w:cs="Times New Roman"/>
                <w:sz w:val="20"/>
              </w:rPr>
            </w:pPr>
            <w:r w:rsidRPr="00C37BC7">
              <w:rPr>
                <w:rFonts w:eastAsia="Times New Roman" w:cs="Times New Roman"/>
                <w:sz w:val="20"/>
              </w:rPr>
              <w:t>საქართველოს გარემოსა და ბუნებრივი რესურსების დაცვის სამინისტროს მიერ, შპს „</w:t>
            </w:r>
            <w:proofErr w:type="spellStart"/>
            <w:r w:rsidRPr="00C37BC7">
              <w:rPr>
                <w:rFonts w:eastAsia="Times New Roman" w:cs="Times New Roman"/>
                <w:sz w:val="20"/>
              </w:rPr>
              <w:t>ჯეოსთილზე</w:t>
            </w:r>
            <w:proofErr w:type="spellEnd"/>
            <w:r w:rsidRPr="00C37BC7">
              <w:rPr>
                <w:rFonts w:eastAsia="Times New Roman" w:cs="Times New Roman"/>
                <w:sz w:val="20"/>
              </w:rPr>
              <w:t>“ 2007 წლის 21 აგვისტოს გაიცა N00084 გარემოზე ზემოქმედების ნებართვა (ეკოლოგიური ექსპერტიზის დასკვნა N24; 14.08.2007), რომლის თანახმადაც საწარმოს წლიური წარმადობა არის 175 000 ტ. ამასთან, იგივე წარმადობა ფიქსირდება სამინისტროს მიერ 2018 წლის 30 აგვისტოს გაცემულ N2- 724 სკრინინგის გადაწყვეტილებაში. შპს „ჯეოსთილის“ მიერ წარმოდგენილ სკოპინგის დოკუმენტაციაში საწარმოს სრული წარმადობა შეადგენს 300 000 ტონას წელიწადში, რაც არ მოდის შესაბამისობაში ზემოაღნიშნული დოკუმენტაციებით გათვალისწინებულ წარმადობასთან და აღნიშნული საკითხი საჭიროებს დაზუსტებას;</w:t>
            </w:r>
          </w:p>
        </w:tc>
        <w:tc>
          <w:tcPr>
            <w:tcW w:w="4241" w:type="dxa"/>
            <w:vAlign w:val="center"/>
          </w:tcPr>
          <w:p w:rsidR="00DF0B7E" w:rsidRPr="00C37BC7" w:rsidRDefault="005454AB" w:rsidP="003C1307">
            <w:pPr>
              <w:spacing w:before="120" w:after="120"/>
              <w:rPr>
                <w:rFonts w:eastAsia="Times New Roman" w:cs="Times New Roman"/>
                <w:sz w:val="20"/>
              </w:rPr>
            </w:pPr>
            <w:r w:rsidRPr="00C37BC7">
              <w:rPr>
                <w:rFonts w:eastAsia="Times New Roman" w:cs="Times New Roman"/>
                <w:sz w:val="20"/>
              </w:rPr>
              <w:t>იხილეთ სკოპინგის ანგარიშის პარაგრაფ</w:t>
            </w:r>
            <w:r w:rsidR="000C5775">
              <w:rPr>
                <w:rFonts w:eastAsia="Times New Roman" w:cs="Times New Roman"/>
                <w:sz w:val="20"/>
              </w:rPr>
              <w:t>ებ</w:t>
            </w:r>
            <w:r w:rsidRPr="00C37BC7">
              <w:rPr>
                <w:rFonts w:eastAsia="Times New Roman" w:cs="Times New Roman"/>
                <w:sz w:val="20"/>
              </w:rPr>
              <w:t>ი</w:t>
            </w:r>
            <w:r>
              <w:rPr>
                <w:rFonts w:eastAsia="Times New Roman" w:cs="Times New Roman"/>
                <w:sz w:val="20"/>
              </w:rPr>
              <w:t xml:space="preserve"> 3.3</w:t>
            </w:r>
            <w:r w:rsidR="000C5775">
              <w:rPr>
                <w:rFonts w:eastAsia="Times New Roman" w:cs="Times New Roman"/>
                <w:sz w:val="20"/>
              </w:rPr>
              <w:t xml:space="preserve"> და 3.3.2.</w:t>
            </w:r>
          </w:p>
        </w:tc>
      </w:tr>
      <w:tr w:rsidR="00DF0B7E" w:rsidRPr="00C37BC7" w:rsidTr="002E0BA8">
        <w:trPr>
          <w:jc w:val="center"/>
        </w:trPr>
        <w:tc>
          <w:tcPr>
            <w:tcW w:w="5382" w:type="dxa"/>
          </w:tcPr>
          <w:p w:rsidR="00DF0B7E" w:rsidRPr="00C37BC7" w:rsidRDefault="00DF0B7E" w:rsidP="00DF0B7E">
            <w:pPr>
              <w:spacing w:before="120" w:after="120"/>
              <w:jc w:val="both"/>
              <w:rPr>
                <w:rFonts w:eastAsia="Times New Roman" w:cs="Times New Roman"/>
                <w:sz w:val="20"/>
              </w:rPr>
            </w:pPr>
            <w:r w:rsidRPr="00C37BC7">
              <w:rPr>
                <w:rFonts w:eastAsia="Times New Roman" w:cs="Times New Roman"/>
                <w:sz w:val="20"/>
              </w:rPr>
              <w:t>შპს „ჯეოსთილის“ მიერ 2007 წელს წარმოდგენილ გზშ-ის ანგარიშში მეტალურგიული საწარმოს გენერალურ გეგმაზე (ნახაზი 3.1.1) ფიქსირდება საწარმოო ობიექტები, რომელიც სკოპინგის ანგარიშით წარმოდგენილ შპს „ჯეოსთილის“ საწარმოს გენ-გეგმაზე სილიკომანგანუმის საწარმოს გათვალისწინებით (ნახაზი 3.2.1) არ არის ასახული. ამასთან სკოპინგის ანგარიშში წარმოდგენილ გენ-გეგმაზე შეინიშნება ობიექტები, რომელიც ზემოაღნიშნული გზშ-ის ანგარიშის გენ-გეგმაზე არ არის დატანილი. აღნიშნული საკითხი საჭიროებს დაზუსტებას;</w:t>
            </w:r>
          </w:p>
        </w:tc>
        <w:tc>
          <w:tcPr>
            <w:tcW w:w="4241" w:type="dxa"/>
            <w:vAlign w:val="center"/>
          </w:tcPr>
          <w:p w:rsidR="00DF0B7E" w:rsidRPr="00C37BC7" w:rsidRDefault="005454AB" w:rsidP="000C5775">
            <w:pPr>
              <w:spacing w:before="120" w:after="120"/>
              <w:jc w:val="left"/>
              <w:rPr>
                <w:rFonts w:eastAsia="Times New Roman" w:cs="Times New Roman"/>
                <w:sz w:val="20"/>
              </w:rPr>
            </w:pPr>
            <w:r>
              <w:rPr>
                <w:rFonts w:eastAsia="Times New Roman" w:cs="Times New Roman"/>
                <w:sz w:val="20"/>
              </w:rPr>
              <w:t>უნდა აღინიშნოს, რომ შპს „ჯეოსთილი“-ს 2007 წელს</w:t>
            </w:r>
            <w:r w:rsidR="006705F5">
              <w:rPr>
                <w:rFonts w:eastAsia="Times New Roman" w:cs="Times New Roman"/>
                <w:sz w:val="20"/>
              </w:rPr>
              <w:t xml:space="preserve"> წარმოდგენილ</w:t>
            </w:r>
            <w:r>
              <w:rPr>
                <w:rFonts w:eastAsia="Times New Roman" w:cs="Times New Roman"/>
                <w:sz w:val="20"/>
              </w:rPr>
              <w:t xml:space="preserve"> გზშ-ის ანგარიშში </w:t>
            </w:r>
            <w:r w:rsidR="006705F5">
              <w:rPr>
                <w:rFonts w:eastAsia="Times New Roman" w:cs="Times New Roman"/>
                <w:sz w:val="20"/>
              </w:rPr>
              <w:t>არსებული</w:t>
            </w:r>
            <w:r>
              <w:rPr>
                <w:rFonts w:eastAsia="Times New Roman" w:cs="Times New Roman"/>
                <w:sz w:val="20"/>
              </w:rPr>
              <w:t xml:space="preserve"> გენ-გეგმა</w:t>
            </w:r>
            <w:r w:rsidR="006705F5">
              <w:rPr>
                <w:rFonts w:eastAsia="Times New Roman" w:cs="Times New Roman"/>
                <w:sz w:val="20"/>
              </w:rPr>
              <w:t>,</w:t>
            </w:r>
            <w:r>
              <w:rPr>
                <w:rFonts w:eastAsia="Times New Roman" w:cs="Times New Roman"/>
                <w:sz w:val="20"/>
              </w:rPr>
              <w:t xml:space="preserve"> გახლდათ </w:t>
            </w:r>
            <w:r w:rsidR="000C5775">
              <w:rPr>
                <w:rFonts w:eastAsia="Times New Roman" w:cs="Times New Roman"/>
                <w:sz w:val="20"/>
              </w:rPr>
              <w:t xml:space="preserve">დაგეგმილი საქმიანობის ტექნიკურ-ეკონომიკური დასაბუთების </w:t>
            </w:r>
            <w:r w:rsidR="006705F5">
              <w:rPr>
                <w:rFonts w:eastAsia="Times New Roman" w:cs="Times New Roman"/>
                <w:sz w:val="20"/>
              </w:rPr>
              <w:t xml:space="preserve">სტადიაზე მომზადებული, ხოლო </w:t>
            </w:r>
            <w:r w:rsidR="000C5775">
              <w:rPr>
                <w:rFonts w:eastAsia="Times New Roman" w:cs="Times New Roman"/>
                <w:sz w:val="20"/>
              </w:rPr>
              <w:t xml:space="preserve">წინამდებარე </w:t>
            </w:r>
            <w:r w:rsidR="006705F5">
              <w:rPr>
                <w:rFonts w:eastAsia="Times New Roman" w:cs="Times New Roman"/>
                <w:sz w:val="20"/>
              </w:rPr>
              <w:t xml:space="preserve">ანგარიშში </w:t>
            </w:r>
            <w:r w:rsidR="000C5775">
              <w:rPr>
                <w:rFonts w:eastAsia="Times New Roman" w:cs="Times New Roman"/>
                <w:sz w:val="20"/>
              </w:rPr>
              <w:t xml:space="preserve">მოცემულ გენერალურ </w:t>
            </w:r>
            <w:r w:rsidR="006705F5">
              <w:rPr>
                <w:rFonts w:eastAsia="Times New Roman" w:cs="Times New Roman"/>
                <w:sz w:val="20"/>
              </w:rPr>
              <w:t>გეგმაზე (</w:t>
            </w:r>
            <w:r w:rsidR="006705F5" w:rsidRPr="006705F5">
              <w:rPr>
                <w:rFonts w:eastAsia="Times New Roman" w:cs="Times New Roman"/>
                <w:sz w:val="20"/>
              </w:rPr>
              <w:t>სქემა 3.2.1</w:t>
            </w:r>
            <w:r w:rsidR="006705F5">
              <w:rPr>
                <w:rFonts w:eastAsia="Times New Roman" w:cs="Times New Roman"/>
                <w:sz w:val="20"/>
              </w:rPr>
              <w:t xml:space="preserve">) დატანილია </w:t>
            </w:r>
            <w:r w:rsidR="000C5775">
              <w:rPr>
                <w:rFonts w:eastAsia="Times New Roman" w:cs="Times New Roman"/>
                <w:sz w:val="20"/>
              </w:rPr>
              <w:t xml:space="preserve">საწარმოს ინფრასტრუქტურის </w:t>
            </w:r>
            <w:r w:rsidR="006705F5">
              <w:rPr>
                <w:rFonts w:eastAsia="Times New Roman" w:cs="Times New Roman"/>
                <w:sz w:val="20"/>
              </w:rPr>
              <w:t xml:space="preserve"> </w:t>
            </w:r>
            <w:r w:rsidR="000C5775">
              <w:rPr>
                <w:rFonts w:eastAsia="Times New Roman" w:cs="Times New Roman"/>
                <w:sz w:val="20"/>
              </w:rPr>
              <w:t xml:space="preserve">დღეისათვის არსებული </w:t>
            </w:r>
            <w:r w:rsidR="006705F5">
              <w:rPr>
                <w:rFonts w:eastAsia="Times New Roman" w:cs="Times New Roman"/>
                <w:sz w:val="20"/>
              </w:rPr>
              <w:t xml:space="preserve"> ფაქტობრივი </w:t>
            </w:r>
            <w:r w:rsidR="000C5775">
              <w:rPr>
                <w:rFonts w:eastAsia="Times New Roman" w:cs="Times New Roman"/>
                <w:sz w:val="20"/>
              </w:rPr>
              <w:t>მდგომარეობა.</w:t>
            </w:r>
          </w:p>
        </w:tc>
      </w:tr>
      <w:tr w:rsidR="00DF0B7E" w:rsidRPr="00C37BC7" w:rsidTr="002E0BA8">
        <w:trPr>
          <w:jc w:val="center"/>
        </w:trPr>
        <w:tc>
          <w:tcPr>
            <w:tcW w:w="5382" w:type="dxa"/>
          </w:tcPr>
          <w:p w:rsidR="00DF0B7E" w:rsidRPr="00C37BC7" w:rsidRDefault="00DF0B7E" w:rsidP="00DF0B7E">
            <w:pPr>
              <w:spacing w:before="120" w:after="120"/>
              <w:jc w:val="both"/>
              <w:rPr>
                <w:rFonts w:eastAsia="Times New Roman" w:cs="Times New Roman"/>
                <w:sz w:val="20"/>
              </w:rPr>
            </w:pPr>
            <w:r w:rsidRPr="00C37BC7">
              <w:rPr>
                <w:rFonts w:eastAsia="Times New Roman" w:cs="Times New Roman"/>
                <w:sz w:val="20"/>
              </w:rPr>
              <w:t>სკოპინგის ანგარიშში წარმოდგენილი საწარმოს გენერალური გეგმა ექსპლიკაციით არ არის წარმოდგენილი მაღალი გარჩევადობით, შესაბამისად ვერ ხდება ობიექტების სათანადო იდენტიფიცირება;</w:t>
            </w:r>
          </w:p>
        </w:tc>
        <w:tc>
          <w:tcPr>
            <w:tcW w:w="4241" w:type="dxa"/>
            <w:vAlign w:val="center"/>
          </w:tcPr>
          <w:p w:rsidR="00DF0B7E" w:rsidRPr="00C37BC7" w:rsidRDefault="006705F5" w:rsidP="00A005FE">
            <w:pPr>
              <w:spacing w:before="120" w:after="120"/>
              <w:rPr>
                <w:rFonts w:eastAsia="Times New Roman" w:cs="Times New Roman"/>
                <w:sz w:val="20"/>
              </w:rPr>
            </w:pPr>
            <w:r w:rsidRPr="00C37BC7">
              <w:rPr>
                <w:rFonts w:eastAsia="Times New Roman" w:cs="Times New Roman"/>
                <w:sz w:val="20"/>
              </w:rPr>
              <w:t xml:space="preserve">იხილეთ სკოპინგის ანგარიშის </w:t>
            </w:r>
            <w:r>
              <w:rPr>
                <w:rFonts w:eastAsia="Times New Roman" w:cs="Times New Roman"/>
                <w:sz w:val="20"/>
              </w:rPr>
              <w:t>სქემა 3.2.1</w:t>
            </w:r>
          </w:p>
        </w:tc>
      </w:tr>
      <w:tr w:rsidR="00DF0B7E" w:rsidRPr="00C37BC7" w:rsidTr="002E0BA8">
        <w:trPr>
          <w:jc w:val="center"/>
        </w:trPr>
        <w:tc>
          <w:tcPr>
            <w:tcW w:w="5382" w:type="dxa"/>
          </w:tcPr>
          <w:p w:rsidR="00DF0B7E" w:rsidRPr="00C37BC7" w:rsidRDefault="00DF0B7E" w:rsidP="00DF0B7E">
            <w:pPr>
              <w:spacing w:before="120" w:after="120"/>
              <w:jc w:val="both"/>
              <w:rPr>
                <w:rFonts w:eastAsia="Times New Roman" w:cs="Times New Roman"/>
                <w:sz w:val="20"/>
              </w:rPr>
            </w:pPr>
            <w:r w:rsidRPr="00C37BC7">
              <w:rPr>
                <w:rFonts w:eastAsia="Times New Roman" w:cs="Times New Roman"/>
                <w:sz w:val="20"/>
              </w:rPr>
              <w:t>სკოპინგის ანგარიშში არ არის წარმოდგენილი სრული ინფორმაცია საწარმოში არსებული თითოეული ობიექტის/საამქროს შესახებ;</w:t>
            </w:r>
          </w:p>
        </w:tc>
        <w:tc>
          <w:tcPr>
            <w:tcW w:w="4241" w:type="dxa"/>
            <w:vAlign w:val="center"/>
          </w:tcPr>
          <w:p w:rsidR="00DF0B7E" w:rsidRPr="00C37BC7" w:rsidRDefault="006705F5" w:rsidP="003C1307">
            <w:pPr>
              <w:spacing w:before="120" w:after="120"/>
              <w:rPr>
                <w:rFonts w:eastAsia="Times New Roman" w:cs="Times New Roman"/>
                <w:sz w:val="20"/>
              </w:rPr>
            </w:pPr>
            <w:r w:rsidRPr="00C37BC7">
              <w:rPr>
                <w:rFonts w:eastAsia="Times New Roman" w:cs="Times New Roman"/>
                <w:sz w:val="20"/>
              </w:rPr>
              <w:t xml:space="preserve">იხილეთ სკოპინგის ანგარიშის </w:t>
            </w:r>
            <w:r>
              <w:rPr>
                <w:rFonts w:eastAsia="Times New Roman" w:cs="Times New Roman"/>
                <w:sz w:val="20"/>
              </w:rPr>
              <w:t>პარაგრაფი 3.2</w:t>
            </w:r>
          </w:p>
        </w:tc>
      </w:tr>
      <w:tr w:rsidR="00DF0B7E" w:rsidRPr="00C37BC7" w:rsidTr="002E0BA8">
        <w:trPr>
          <w:jc w:val="center"/>
        </w:trPr>
        <w:tc>
          <w:tcPr>
            <w:tcW w:w="5382" w:type="dxa"/>
          </w:tcPr>
          <w:p w:rsidR="00DF0B7E" w:rsidRPr="00C37BC7" w:rsidRDefault="00DF0B7E" w:rsidP="00DF0B7E">
            <w:pPr>
              <w:spacing w:before="120" w:after="120"/>
              <w:jc w:val="left"/>
              <w:rPr>
                <w:rFonts w:eastAsia="Times New Roman" w:cs="Times New Roman"/>
                <w:sz w:val="20"/>
              </w:rPr>
            </w:pPr>
            <w:r w:rsidRPr="00C66CE3">
              <w:rPr>
                <w:rFonts w:eastAsia="Times New Roman" w:cs="Times New Roman"/>
                <w:sz w:val="20"/>
              </w:rPr>
              <w:lastRenderedPageBreak/>
              <w:t>წარმოდგენილ დოკუმენტაციაში, არაქმედების ალტერნატივის თავში (4.3) პროექტის განხორციელების პოზიტიურ შედეგად განხილულია მანგანუმის მადნის სამთომოპოვებითი საქმიანობის გააქტიურება და შესაბამისად დამატებითი სამუშაო ადგილების შექმნა. აღნიშნული ვერ განიხილება დასაბუთებულ არაქმედების ალტერნატივად და საჭიროებს კორექტირებას;</w:t>
            </w:r>
          </w:p>
        </w:tc>
        <w:tc>
          <w:tcPr>
            <w:tcW w:w="4241" w:type="dxa"/>
            <w:vAlign w:val="center"/>
          </w:tcPr>
          <w:p w:rsidR="00DF0B7E" w:rsidRPr="00C37BC7" w:rsidRDefault="00C66CE3" w:rsidP="00A31716">
            <w:pPr>
              <w:tabs>
                <w:tab w:val="left" w:pos="1242"/>
              </w:tabs>
              <w:spacing w:before="120" w:after="120"/>
              <w:rPr>
                <w:rFonts w:eastAsia="Times New Roman" w:cs="Times New Roman"/>
                <w:sz w:val="20"/>
              </w:rPr>
            </w:pPr>
            <w:r>
              <w:rPr>
                <w:rFonts w:eastAsia="Times New Roman" w:cs="Times New Roman"/>
                <w:sz w:val="20"/>
              </w:rPr>
              <w:t xml:space="preserve">კომენტარი გათვალისწინებულია </w:t>
            </w:r>
          </w:p>
        </w:tc>
      </w:tr>
      <w:tr w:rsidR="00DF0B7E" w:rsidRPr="00C37BC7" w:rsidTr="002E0BA8">
        <w:trPr>
          <w:jc w:val="center"/>
        </w:trPr>
        <w:tc>
          <w:tcPr>
            <w:tcW w:w="5382" w:type="dxa"/>
          </w:tcPr>
          <w:p w:rsidR="00DF0B7E" w:rsidRPr="00C37BC7" w:rsidRDefault="00DF0B7E" w:rsidP="00DF0B7E">
            <w:pPr>
              <w:spacing w:before="120" w:after="120"/>
              <w:jc w:val="both"/>
              <w:rPr>
                <w:rFonts w:eastAsia="Times New Roman" w:cs="Times New Roman"/>
                <w:sz w:val="20"/>
              </w:rPr>
            </w:pPr>
            <w:r w:rsidRPr="00C37BC7">
              <w:rPr>
                <w:rFonts w:eastAsia="Times New Roman" w:cs="Times New Roman"/>
                <w:sz w:val="20"/>
              </w:rPr>
              <w:t>სკოპინგის დოკუმენტში არ არის მოცემული ინფორმაცია საწარმოს და საპროექტო ტერიტორიაზე წარმოქმნილი სანიაღვრე წყლების მართვის შესახებ;</w:t>
            </w:r>
          </w:p>
        </w:tc>
        <w:tc>
          <w:tcPr>
            <w:tcW w:w="4241" w:type="dxa"/>
            <w:vAlign w:val="center"/>
          </w:tcPr>
          <w:p w:rsidR="00DF0B7E" w:rsidRPr="00C37BC7" w:rsidRDefault="006705F5" w:rsidP="003C1307">
            <w:pPr>
              <w:spacing w:before="120" w:after="120"/>
              <w:rPr>
                <w:rFonts w:eastAsia="Times New Roman" w:cs="Times New Roman"/>
                <w:sz w:val="20"/>
              </w:rPr>
            </w:pPr>
            <w:r w:rsidRPr="00C37BC7">
              <w:rPr>
                <w:rFonts w:eastAsia="Times New Roman" w:cs="Times New Roman"/>
                <w:sz w:val="20"/>
              </w:rPr>
              <w:t xml:space="preserve">იხილეთ სკოპინგის ანგარიშის </w:t>
            </w:r>
            <w:r>
              <w:rPr>
                <w:rFonts w:eastAsia="Times New Roman" w:cs="Times New Roman"/>
                <w:sz w:val="20"/>
              </w:rPr>
              <w:t>პარაგრაფი 3.4 და 3.4.1.2</w:t>
            </w:r>
          </w:p>
        </w:tc>
      </w:tr>
      <w:tr w:rsidR="00DF0B7E" w:rsidRPr="00C37BC7" w:rsidTr="002E0BA8">
        <w:trPr>
          <w:jc w:val="center"/>
        </w:trPr>
        <w:tc>
          <w:tcPr>
            <w:tcW w:w="5382" w:type="dxa"/>
          </w:tcPr>
          <w:p w:rsidR="00DF0B7E" w:rsidRPr="00C37BC7" w:rsidRDefault="00DF0B7E" w:rsidP="00DF0B7E">
            <w:pPr>
              <w:spacing w:before="120" w:after="120"/>
              <w:jc w:val="both"/>
              <w:rPr>
                <w:rFonts w:eastAsia="Times New Roman" w:cs="Times New Roman"/>
                <w:sz w:val="20"/>
              </w:rPr>
            </w:pPr>
            <w:r w:rsidRPr="00E11040">
              <w:rPr>
                <w:rFonts w:eastAsia="Times New Roman" w:cs="Times New Roman"/>
                <w:sz w:val="20"/>
              </w:rPr>
              <w:t>წარმოდგენილ დოკუმენტაციაში განხილული არ არის წარმოქმნილი წიდის რაოდენობის და მართვის საკითხები, როგორც არსებული, ისე დაგეგმილი საწარმოსთვის.</w:t>
            </w:r>
          </w:p>
        </w:tc>
        <w:tc>
          <w:tcPr>
            <w:tcW w:w="4241" w:type="dxa"/>
            <w:vAlign w:val="center"/>
          </w:tcPr>
          <w:p w:rsidR="00DF0B7E" w:rsidRPr="00C37BC7" w:rsidRDefault="00E11040" w:rsidP="003C1307">
            <w:pPr>
              <w:spacing w:before="120" w:after="120"/>
              <w:rPr>
                <w:rFonts w:eastAsia="Times New Roman" w:cs="Times New Roman"/>
                <w:sz w:val="20"/>
              </w:rPr>
            </w:pPr>
            <w:r w:rsidRPr="00C37BC7">
              <w:rPr>
                <w:rFonts w:eastAsia="Times New Roman" w:cs="Times New Roman"/>
                <w:sz w:val="20"/>
              </w:rPr>
              <w:t xml:space="preserve">იხილეთ სკოპინგის ანგარიშის </w:t>
            </w:r>
            <w:r>
              <w:rPr>
                <w:rFonts w:eastAsia="Times New Roman" w:cs="Times New Roman"/>
                <w:sz w:val="20"/>
              </w:rPr>
              <w:t>პარაგრაფი 5.7.</w:t>
            </w:r>
          </w:p>
        </w:tc>
      </w:tr>
      <w:tr w:rsidR="00DF0B7E" w:rsidRPr="00C37BC7" w:rsidTr="002E0BA8">
        <w:trPr>
          <w:jc w:val="center"/>
        </w:trPr>
        <w:tc>
          <w:tcPr>
            <w:tcW w:w="5382" w:type="dxa"/>
          </w:tcPr>
          <w:p w:rsidR="00DF0B7E" w:rsidRPr="00C37BC7" w:rsidRDefault="00DF0B7E" w:rsidP="00DF0B7E">
            <w:pPr>
              <w:spacing w:before="120" w:after="120"/>
              <w:jc w:val="both"/>
              <w:rPr>
                <w:rFonts w:eastAsia="Times New Roman" w:cs="Times New Roman"/>
                <w:sz w:val="20"/>
              </w:rPr>
            </w:pPr>
            <w:r w:rsidRPr="00C37BC7">
              <w:rPr>
                <w:rFonts w:eastAsia="Times New Roman" w:cs="Times New Roman"/>
                <w:sz w:val="20"/>
              </w:rPr>
              <w:t>აღნიშნული შენიშვნების გათვალისწინებით, საქმიანობასთან დაკავშირებული სკოპინგის ანგარიში საჭიროებს გადამუშავებას.</w:t>
            </w:r>
          </w:p>
        </w:tc>
        <w:tc>
          <w:tcPr>
            <w:tcW w:w="4241" w:type="dxa"/>
            <w:vAlign w:val="center"/>
          </w:tcPr>
          <w:p w:rsidR="00DF0B7E" w:rsidRPr="00C37BC7" w:rsidRDefault="00A07FF1" w:rsidP="003C1307">
            <w:pPr>
              <w:spacing w:before="120" w:after="120"/>
              <w:rPr>
                <w:rFonts w:eastAsia="Times New Roman" w:cs="Times New Roman"/>
                <w:sz w:val="20"/>
              </w:rPr>
            </w:pPr>
            <w:r>
              <w:rPr>
                <w:rFonts w:eastAsia="Times New Roman" w:cs="Times New Roman"/>
                <w:sz w:val="20"/>
              </w:rPr>
              <w:t xml:space="preserve">სკოპინგის ანგარიშის განახლებული ვერია თან ერთვის </w:t>
            </w:r>
          </w:p>
        </w:tc>
      </w:tr>
      <w:tr w:rsidR="00A07FF1" w:rsidRPr="00C37BC7" w:rsidTr="00593A36">
        <w:trPr>
          <w:trHeight w:val="5628"/>
          <w:jc w:val="center"/>
        </w:trPr>
        <w:tc>
          <w:tcPr>
            <w:tcW w:w="5382" w:type="dxa"/>
          </w:tcPr>
          <w:p w:rsidR="00A07FF1" w:rsidRPr="00C37BC7" w:rsidRDefault="00A07FF1" w:rsidP="003C1307">
            <w:pPr>
              <w:spacing w:before="120" w:after="120"/>
              <w:jc w:val="both"/>
              <w:rPr>
                <w:rFonts w:eastAsia="Times New Roman" w:cs="Times New Roman"/>
                <w:sz w:val="20"/>
              </w:rPr>
            </w:pPr>
            <w:r w:rsidRPr="00C37BC7">
              <w:rPr>
                <w:rFonts w:eastAsia="Times New Roman" w:cs="Times New Roman"/>
                <w:sz w:val="20"/>
              </w:rPr>
              <w:t>ამასთან, შეგახსენებთ, რომ საქართველოს გარემოსა და ბუნებრივი რესურსების დაცვის სამინისტროს 2015 წლის 21 ოქტომბრის N7574 წერილით შპს „ჯეოსთილს“ ეცნობა, რომ სამინისტროს შესაძლებლად მიაჩნდა მეტალურგიული საწარმოს ნავთობპროდუქტებით და სხვა ქიმიური ნივთიერებებით დაბინძურებული ჯართის შესაგროვებელი მოედნის მოწყობა განხორციელებულიყო შპს „ჯეოსთილის“ 2015 წლის 12 ოქტომბრის N20636 წერილით წარმოდგენილი პროექტის შესაბამისად. აგრეთვე, საქართველოს გარემოსა და ბუნებრივი რესურსების დაცვის სამინისტროს 2015 წლის 31 ივლისის N5441 წერილით შპს „ჯეოსთილს“ ეცნობა, რომ სამინისტროს შესაძლებლად მიაჩნდა საწარმოს ხანძარსაწინააღმდეგო სისტემის მოწყობა განხორციელებულიყო თქვენ მიერ 2015 წლის N7080 წერილით წარმოდგენილი სქემის შესაბამისად.</w:t>
            </w:r>
          </w:p>
          <w:p w:rsidR="00A07FF1" w:rsidRPr="00C37BC7" w:rsidRDefault="00A07FF1" w:rsidP="004E48BA">
            <w:pPr>
              <w:spacing w:before="120" w:after="120"/>
              <w:jc w:val="both"/>
              <w:rPr>
                <w:rFonts w:eastAsia="Times New Roman" w:cs="Times New Roman"/>
                <w:sz w:val="20"/>
              </w:rPr>
            </w:pPr>
            <w:r w:rsidRPr="00C37BC7">
              <w:rPr>
                <w:rFonts w:eastAsia="Times New Roman" w:cs="Times New Roman"/>
                <w:sz w:val="20"/>
              </w:rPr>
              <w:t>აღნიშნულის გათვალისწინებით, გადამუშავებულ სკოპინგის ანგარიშში ასახული უნდა იყოს ინფორმაცია ჯართის მოედნისა და სახანძრო სისტემის მოწყობის შესახებ.</w:t>
            </w:r>
          </w:p>
        </w:tc>
        <w:tc>
          <w:tcPr>
            <w:tcW w:w="4241" w:type="dxa"/>
            <w:vAlign w:val="center"/>
          </w:tcPr>
          <w:p w:rsidR="00A07FF1" w:rsidRPr="00C37BC7" w:rsidRDefault="00A07FF1" w:rsidP="003C1307">
            <w:pPr>
              <w:spacing w:before="120" w:after="120"/>
              <w:rPr>
                <w:rFonts w:eastAsia="Times New Roman" w:cs="Times New Roman"/>
                <w:sz w:val="20"/>
              </w:rPr>
            </w:pPr>
            <w:r w:rsidRPr="00C37BC7">
              <w:rPr>
                <w:rFonts w:eastAsia="Times New Roman" w:cs="Times New Roman"/>
                <w:sz w:val="20"/>
              </w:rPr>
              <w:t xml:space="preserve">იხილეთ სკოპინგის ანგარიშის </w:t>
            </w:r>
            <w:r>
              <w:rPr>
                <w:rFonts w:eastAsia="Times New Roman" w:cs="Times New Roman"/>
                <w:sz w:val="20"/>
              </w:rPr>
              <w:t>პარაგრაფები 3.2.5 და 3.5</w:t>
            </w:r>
          </w:p>
        </w:tc>
      </w:tr>
      <w:tr w:rsidR="004E48BA" w:rsidRPr="00C37BC7" w:rsidTr="002E0BA8">
        <w:trPr>
          <w:jc w:val="center"/>
        </w:trPr>
        <w:tc>
          <w:tcPr>
            <w:tcW w:w="5382" w:type="dxa"/>
          </w:tcPr>
          <w:p w:rsidR="004E48BA" w:rsidRPr="00C37BC7" w:rsidRDefault="004E48BA" w:rsidP="004E48BA">
            <w:pPr>
              <w:spacing w:before="120" w:after="120"/>
              <w:jc w:val="both"/>
              <w:rPr>
                <w:rFonts w:eastAsia="Times New Roman" w:cs="Times New Roman"/>
                <w:sz w:val="20"/>
              </w:rPr>
            </w:pPr>
            <w:r w:rsidRPr="00C37BC7">
              <w:rPr>
                <w:rFonts w:eastAsia="Times New Roman" w:cs="Times New Roman"/>
                <w:sz w:val="20"/>
              </w:rPr>
              <w:t xml:space="preserve">გაცნობებთ, რომ თქვენი 2018 წლის 28 მაისის წერილის საფუძველზე, რომელიც ეხებოდა მეტალურგიული საწარმოს პროექტის 2007 წლის 14 აგვისტოს N24 ეკოლოგიური ექსპერტიზის დასკვნის საფუძველზე გაცემული N00084 გარემოზე ზემოქმედების ნებართვის ფარგლებში საწარმოში ნედლეულისა და მზა პროდუქციის შეტანასთან და გატანასთან დაკავშირებულ საკითხებს, სამინისტროდან გეცნობათ, რომ საწარმოში ნედლეულის ძირითადი ნაწილის ტრანსპორტირება უნდა განხორციელებულიყო რკინიგზის საშუალებით. ამასთან სამინისტროს </w:t>
            </w:r>
            <w:r w:rsidRPr="00C37BC7">
              <w:rPr>
                <w:rFonts w:eastAsia="Times New Roman" w:cs="Times New Roman"/>
                <w:sz w:val="20"/>
              </w:rPr>
              <w:lastRenderedPageBreak/>
              <w:t>წერილში აღნიშნული იყო, რომ ავტოტრანსპორტით შესაძლებელია მხოლოდ ადგილობრივ სამშენებლო ობიექტებზე მზა პროდუქციის გატანა, რომლის დროსაც, ტრანსპორტირების მიზნით გამოყენებული შემოვლითი გზების საკითხი უნდა შეთანხმებულიყო სამინისტროსთან. განახლებულ სკოპინგის ანგარიშში წარმოდგენილი უნდა იყოს სამინისტროს აღნიშნული მოთხოვნის გათვალისწინებით, ინფორმაცია ნედლეულის ტრანსპორტირების საკითხის შესახებ, როგორც მოქმედი, ისე დაგეგმილი საწარმოს ტერიტორიაზე.</w:t>
            </w:r>
          </w:p>
        </w:tc>
        <w:tc>
          <w:tcPr>
            <w:tcW w:w="4241" w:type="dxa"/>
            <w:vAlign w:val="center"/>
          </w:tcPr>
          <w:p w:rsidR="004E48BA" w:rsidRPr="00C37BC7" w:rsidRDefault="003C1307" w:rsidP="003C1307">
            <w:pPr>
              <w:spacing w:before="120" w:after="120"/>
              <w:rPr>
                <w:rFonts w:eastAsia="Times New Roman" w:cs="Times New Roman"/>
                <w:sz w:val="20"/>
              </w:rPr>
            </w:pPr>
            <w:r w:rsidRPr="00C37BC7">
              <w:rPr>
                <w:rFonts w:eastAsia="Times New Roman" w:cs="Times New Roman"/>
                <w:sz w:val="20"/>
              </w:rPr>
              <w:lastRenderedPageBreak/>
              <w:t xml:space="preserve">იხილეთ სკოპინგის ანგარიშის </w:t>
            </w:r>
            <w:r>
              <w:rPr>
                <w:rFonts w:eastAsia="Times New Roman" w:cs="Times New Roman"/>
                <w:sz w:val="20"/>
              </w:rPr>
              <w:t>პარაგრაფი 5.9.3</w:t>
            </w:r>
          </w:p>
        </w:tc>
      </w:tr>
      <w:tr w:rsidR="004E48BA" w:rsidRPr="00C37BC7" w:rsidTr="002E0BA8">
        <w:trPr>
          <w:jc w:val="center"/>
        </w:trPr>
        <w:tc>
          <w:tcPr>
            <w:tcW w:w="5382" w:type="dxa"/>
          </w:tcPr>
          <w:p w:rsidR="004E48BA" w:rsidRPr="00C37BC7" w:rsidRDefault="004E48BA" w:rsidP="004E48BA">
            <w:pPr>
              <w:spacing w:before="120" w:after="120"/>
              <w:jc w:val="both"/>
              <w:rPr>
                <w:rFonts w:eastAsia="Times New Roman" w:cs="Times New Roman"/>
                <w:sz w:val="20"/>
              </w:rPr>
            </w:pPr>
            <w:r w:rsidRPr="00C37BC7">
              <w:rPr>
                <w:rFonts w:eastAsia="Times New Roman" w:cs="Times New Roman"/>
                <w:sz w:val="20"/>
              </w:rPr>
              <w:t>ამასთან, 2007 წლის გზშ-ის ანგარიშის თანახმად, ლითონის გლინვის უბნიდან ლითონის გასაცივებლად გამოყენებული წყალი მიეწოდება წყლის სალექარს, რომლის გაწმენდაც ხდება პერიოდულად, ამოღებული შლამის განთავსება კი ხდება საწარმოს ტერიტორიაზე. სკოპინგის ანგარიშში არ არის მოცემული ინფორმაცია სალექარის შესახებ, შესაბამისად განახლებულ სკოპინგის დოკუმენტაციაში მოცემული უნდა იყოს ცნობები სალექარისა და მისგან ამოღებული შლამის გაუწყლოების შესახებ.</w:t>
            </w:r>
          </w:p>
        </w:tc>
        <w:tc>
          <w:tcPr>
            <w:tcW w:w="4241" w:type="dxa"/>
            <w:vAlign w:val="center"/>
          </w:tcPr>
          <w:p w:rsidR="004E48BA" w:rsidRPr="00C37BC7" w:rsidRDefault="003C1307" w:rsidP="00FC0FCF">
            <w:pPr>
              <w:spacing w:before="120" w:after="120"/>
              <w:rPr>
                <w:rFonts w:eastAsia="Times New Roman" w:cs="Times New Roman"/>
                <w:sz w:val="20"/>
              </w:rPr>
            </w:pPr>
            <w:r w:rsidRPr="00C37BC7">
              <w:rPr>
                <w:rFonts w:eastAsia="Times New Roman" w:cs="Times New Roman"/>
                <w:sz w:val="20"/>
              </w:rPr>
              <w:t xml:space="preserve">იხილეთ სკოპინგის ანგარიშის </w:t>
            </w:r>
            <w:r>
              <w:rPr>
                <w:rFonts w:eastAsia="Times New Roman" w:cs="Times New Roman"/>
                <w:sz w:val="20"/>
              </w:rPr>
              <w:t>პარაგრაფი 3.4.</w:t>
            </w:r>
          </w:p>
        </w:tc>
      </w:tr>
      <w:tr w:rsidR="004E48BA" w:rsidRPr="00C37BC7" w:rsidTr="002E0BA8">
        <w:trPr>
          <w:jc w:val="center"/>
        </w:trPr>
        <w:tc>
          <w:tcPr>
            <w:tcW w:w="5382" w:type="dxa"/>
          </w:tcPr>
          <w:p w:rsidR="004E48BA" w:rsidRPr="00C37BC7" w:rsidRDefault="004E48BA" w:rsidP="004E48BA">
            <w:pPr>
              <w:spacing w:before="120" w:after="120"/>
              <w:jc w:val="both"/>
              <w:rPr>
                <w:rFonts w:eastAsia="Times New Roman" w:cs="Times New Roman"/>
                <w:sz w:val="20"/>
              </w:rPr>
            </w:pPr>
            <w:r w:rsidRPr="00C37BC7">
              <w:rPr>
                <w:rFonts w:eastAsia="Times New Roman" w:cs="Times New Roman"/>
                <w:sz w:val="20"/>
              </w:rPr>
              <w:t xml:space="preserve">იმ შემთხვევაში, თუ კომპანია გეგმავს დაგეგმილი ცვლილების გათვალისწინებით ერთიანი გარემოსდაცვითი გადაწყვეტილების მიღებას, რომელშიც გაერთიანებული იქნება არსებული და დაგეგმილი მეტალურგიული წარმოების მთლიანი ტექნოლოგიური ციკლი, საჭიროა სკოპინგის ანგარიშში განხილული იქნეს, როგორც არსებული გადაწყვეტილებით გათვალისწინებული საკითხები (მათ შორის საწარმოში არსებული მდგომარეობის გათვალისწინებით), ასევე დაგეგმილი ცვლილებები ერთიანი პროექტის სახით. </w:t>
            </w:r>
          </w:p>
        </w:tc>
        <w:tc>
          <w:tcPr>
            <w:tcW w:w="4241" w:type="dxa"/>
            <w:vAlign w:val="center"/>
          </w:tcPr>
          <w:p w:rsidR="004E48BA" w:rsidRPr="00C37BC7" w:rsidRDefault="003C1307" w:rsidP="003C1307">
            <w:pPr>
              <w:spacing w:before="120" w:after="120"/>
              <w:rPr>
                <w:rFonts w:eastAsia="Times New Roman" w:cs="Times New Roman"/>
                <w:sz w:val="20"/>
              </w:rPr>
            </w:pPr>
            <w:r>
              <w:rPr>
                <w:rFonts w:eastAsia="Times New Roman" w:cs="Times New Roman"/>
                <w:sz w:val="20"/>
              </w:rPr>
              <w:t>გადამუშავებული სკოპინგის ანგარიში</w:t>
            </w:r>
            <w:r w:rsidR="00FC0FCF">
              <w:rPr>
                <w:rFonts w:eastAsia="Times New Roman" w:cs="Times New Roman"/>
                <w:sz w:val="20"/>
              </w:rPr>
              <w:t xml:space="preserve"> თან ერთვის წერილს </w:t>
            </w:r>
          </w:p>
        </w:tc>
      </w:tr>
    </w:tbl>
    <w:p w:rsidR="003C1307" w:rsidRDefault="003C1307" w:rsidP="003C1307">
      <w:pPr>
        <w:spacing w:before="120" w:after="120"/>
        <w:jc w:val="both"/>
        <w:rPr>
          <w:rFonts w:eastAsia="Times New Roman" w:cs="Times New Roman"/>
        </w:rPr>
      </w:pPr>
      <w:r>
        <w:rPr>
          <w:rFonts w:eastAsia="Times New Roman" w:cs="Times New Roman"/>
        </w:rPr>
        <w:t xml:space="preserve"> </w:t>
      </w:r>
    </w:p>
    <w:p w:rsidR="003C1307" w:rsidRDefault="003C1307" w:rsidP="003C1307">
      <w:pPr>
        <w:spacing w:before="120" w:after="120"/>
        <w:jc w:val="both"/>
        <w:rPr>
          <w:rFonts w:eastAsia="Times New Roman" w:cs="Times New Roman"/>
        </w:rPr>
      </w:pPr>
    </w:p>
    <w:p w:rsidR="00A005FE" w:rsidRDefault="00A005FE">
      <w:pPr>
        <w:spacing w:before="120" w:after="120"/>
        <w:jc w:val="both"/>
        <w:rPr>
          <w:rFonts w:eastAsia="Times New Roman" w:cs="Times New Roman"/>
        </w:rPr>
      </w:pPr>
    </w:p>
    <w:sectPr w:rsidR="00A005FE" w:rsidSect="00AD59C5">
      <w:pgSz w:w="11909" w:h="16834" w:code="9"/>
      <w:pgMar w:top="1138" w:right="1138" w:bottom="1138" w:left="113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6579E"/>
    <w:multiLevelType w:val="multilevel"/>
    <w:tmpl w:val="34C4A9C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16822BE"/>
    <w:multiLevelType w:val="hybridMultilevel"/>
    <w:tmpl w:val="3BC4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866F3"/>
    <w:multiLevelType w:val="hybridMultilevel"/>
    <w:tmpl w:val="9362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B4FA3"/>
    <w:multiLevelType w:val="multilevel"/>
    <w:tmpl w:val="A8EA86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4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2B969D7"/>
    <w:multiLevelType w:val="multilevel"/>
    <w:tmpl w:val="F3F6EDC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4261E6B"/>
    <w:multiLevelType w:val="multilevel"/>
    <w:tmpl w:val="F12473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4"/>
  </w:num>
  <w:num w:numId="10">
    <w:abstractNumId w:val="4"/>
  </w:num>
  <w:num w:numId="11">
    <w:abstractNumId w:val="4"/>
  </w:num>
  <w:num w:numId="12">
    <w:abstractNumId w:val="4"/>
  </w:num>
  <w:num w:numId="13">
    <w:abstractNumId w:val="0"/>
  </w:num>
  <w:num w:numId="14">
    <w:abstractNumId w:val="3"/>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48"/>
    <w:rsid w:val="00070E70"/>
    <w:rsid w:val="000A641A"/>
    <w:rsid w:val="000B01FF"/>
    <w:rsid w:val="000C5775"/>
    <w:rsid w:val="000D1C2B"/>
    <w:rsid w:val="00123286"/>
    <w:rsid w:val="001534AF"/>
    <w:rsid w:val="00173DBA"/>
    <w:rsid w:val="001956B1"/>
    <w:rsid w:val="001D669D"/>
    <w:rsid w:val="001D6D57"/>
    <w:rsid w:val="0021786E"/>
    <w:rsid w:val="002C0007"/>
    <w:rsid w:val="002E0BA8"/>
    <w:rsid w:val="00311845"/>
    <w:rsid w:val="00312DC4"/>
    <w:rsid w:val="00314853"/>
    <w:rsid w:val="0033735F"/>
    <w:rsid w:val="00396390"/>
    <w:rsid w:val="003A4436"/>
    <w:rsid w:val="003C1307"/>
    <w:rsid w:val="003D4D34"/>
    <w:rsid w:val="00412B35"/>
    <w:rsid w:val="0042459D"/>
    <w:rsid w:val="00463C72"/>
    <w:rsid w:val="004C217E"/>
    <w:rsid w:val="004E48BA"/>
    <w:rsid w:val="004F4DE7"/>
    <w:rsid w:val="004F7264"/>
    <w:rsid w:val="00513461"/>
    <w:rsid w:val="005454AB"/>
    <w:rsid w:val="00563063"/>
    <w:rsid w:val="005A49F0"/>
    <w:rsid w:val="005C6D1D"/>
    <w:rsid w:val="005D3948"/>
    <w:rsid w:val="00626588"/>
    <w:rsid w:val="0065054D"/>
    <w:rsid w:val="006705F5"/>
    <w:rsid w:val="00676E8B"/>
    <w:rsid w:val="006B2F98"/>
    <w:rsid w:val="007371AB"/>
    <w:rsid w:val="00785A6D"/>
    <w:rsid w:val="00867F5C"/>
    <w:rsid w:val="00894974"/>
    <w:rsid w:val="008B3AE9"/>
    <w:rsid w:val="008F09AB"/>
    <w:rsid w:val="00912244"/>
    <w:rsid w:val="009161FF"/>
    <w:rsid w:val="009208AE"/>
    <w:rsid w:val="00932E76"/>
    <w:rsid w:val="00A005FE"/>
    <w:rsid w:val="00A07FF1"/>
    <w:rsid w:val="00A31716"/>
    <w:rsid w:val="00A461DA"/>
    <w:rsid w:val="00A6176D"/>
    <w:rsid w:val="00AA5BCC"/>
    <w:rsid w:val="00AD59C5"/>
    <w:rsid w:val="00AE36B9"/>
    <w:rsid w:val="00AF3CF9"/>
    <w:rsid w:val="00B361E7"/>
    <w:rsid w:val="00B64B85"/>
    <w:rsid w:val="00BE15D2"/>
    <w:rsid w:val="00C22AA5"/>
    <w:rsid w:val="00C37BC7"/>
    <w:rsid w:val="00C66CE3"/>
    <w:rsid w:val="00D025C9"/>
    <w:rsid w:val="00D13247"/>
    <w:rsid w:val="00D1655A"/>
    <w:rsid w:val="00D36E69"/>
    <w:rsid w:val="00D43095"/>
    <w:rsid w:val="00D65FE0"/>
    <w:rsid w:val="00D829D5"/>
    <w:rsid w:val="00DF0B7E"/>
    <w:rsid w:val="00E02CEC"/>
    <w:rsid w:val="00E11040"/>
    <w:rsid w:val="00E26FE4"/>
    <w:rsid w:val="00E5628E"/>
    <w:rsid w:val="00E74576"/>
    <w:rsid w:val="00F220BD"/>
    <w:rsid w:val="00F30475"/>
    <w:rsid w:val="00F76CEB"/>
    <w:rsid w:val="00FA7A7B"/>
    <w:rsid w:val="00FC0FCF"/>
    <w:rsid w:val="00FE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5A9CD-9889-4697-9414-22A43E01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AE9"/>
    <w:pPr>
      <w:spacing w:before="0" w:after="0"/>
      <w:jc w:val="center"/>
    </w:pPr>
    <w:rPr>
      <w:lang w:val="ka-GE"/>
    </w:rPr>
  </w:style>
  <w:style w:type="paragraph" w:styleId="Heading1">
    <w:name w:val="heading 1"/>
    <w:basedOn w:val="Normal"/>
    <w:next w:val="Normal"/>
    <w:link w:val="Heading1Char"/>
    <w:autoRedefine/>
    <w:uiPriority w:val="9"/>
    <w:qFormat/>
    <w:rsid w:val="00312DC4"/>
    <w:pPr>
      <w:keepNext/>
      <w:keepLines/>
      <w:numPr>
        <w:numId w:val="12"/>
      </w:numPr>
      <w:spacing w:before="120" w:after="160" w:line="259" w:lineRule="auto"/>
      <w:jc w:val="left"/>
      <w:outlineLvl w:val="0"/>
    </w:pPr>
    <w:rPr>
      <w:rFonts w:eastAsiaTheme="majorEastAsia" w:cstheme="majorBidi"/>
      <w:b/>
      <w:color w:val="000000" w:themeColor="text1"/>
      <w:szCs w:val="32"/>
      <w:lang w:val="en-US"/>
    </w:rPr>
  </w:style>
  <w:style w:type="paragraph" w:styleId="Heading2">
    <w:name w:val="heading 2"/>
    <w:basedOn w:val="Normal"/>
    <w:next w:val="Normal"/>
    <w:link w:val="Heading2Char"/>
    <w:autoRedefine/>
    <w:uiPriority w:val="9"/>
    <w:unhideWhenUsed/>
    <w:qFormat/>
    <w:rsid w:val="00312DC4"/>
    <w:pPr>
      <w:keepNext/>
      <w:keepLines/>
      <w:numPr>
        <w:ilvl w:val="1"/>
        <w:numId w:val="11"/>
      </w:numPr>
      <w:spacing w:before="120" w:after="160" w:line="259" w:lineRule="auto"/>
      <w:jc w:val="left"/>
      <w:outlineLvl w:val="1"/>
    </w:pPr>
    <w:rPr>
      <w:rFonts w:eastAsiaTheme="majorEastAsia" w:cstheme="majorBidi"/>
      <w:b/>
      <w:color w:val="000000" w:themeColor="text1"/>
      <w:szCs w:val="26"/>
      <w:lang w:val="en-US"/>
    </w:rPr>
  </w:style>
  <w:style w:type="paragraph" w:styleId="Heading3">
    <w:name w:val="heading 3"/>
    <w:basedOn w:val="Normal"/>
    <w:next w:val="Normal"/>
    <w:link w:val="Heading3Char"/>
    <w:autoRedefine/>
    <w:uiPriority w:val="9"/>
    <w:semiHidden/>
    <w:unhideWhenUsed/>
    <w:qFormat/>
    <w:rsid w:val="00312DC4"/>
    <w:pPr>
      <w:keepNext/>
      <w:keepLines/>
      <w:numPr>
        <w:ilvl w:val="2"/>
        <w:numId w:val="12"/>
      </w:numPr>
      <w:spacing w:before="120" w:after="160" w:line="259" w:lineRule="auto"/>
      <w:jc w:val="left"/>
      <w:outlineLvl w:val="2"/>
    </w:pPr>
    <w:rPr>
      <w:rFonts w:eastAsiaTheme="majorEastAsia" w:cstheme="majorBidi"/>
      <w:b/>
      <w:color w:val="000000" w:themeColor="text1"/>
      <w:szCs w:val="24"/>
      <w:lang w:val="en-US"/>
    </w:rPr>
  </w:style>
  <w:style w:type="paragraph" w:styleId="Heading4">
    <w:name w:val="heading 4"/>
    <w:basedOn w:val="Normal"/>
    <w:next w:val="Normal"/>
    <w:link w:val="Heading4Char"/>
    <w:autoRedefine/>
    <w:uiPriority w:val="9"/>
    <w:semiHidden/>
    <w:unhideWhenUsed/>
    <w:qFormat/>
    <w:rsid w:val="00312DC4"/>
    <w:pPr>
      <w:keepNext/>
      <w:keepLines/>
      <w:numPr>
        <w:ilvl w:val="3"/>
        <w:numId w:val="12"/>
      </w:numPr>
      <w:spacing w:before="120" w:after="160" w:line="259" w:lineRule="auto"/>
      <w:jc w:val="left"/>
      <w:outlineLvl w:val="3"/>
    </w:pPr>
    <w:rPr>
      <w:rFonts w:eastAsiaTheme="majorEastAsia" w:cstheme="majorBidi"/>
      <w:b/>
      <w:iCs/>
      <w:color w:val="000000" w:themeColor="text1"/>
      <w:lang w:val="en-US"/>
    </w:rPr>
  </w:style>
  <w:style w:type="paragraph" w:styleId="Heading5">
    <w:name w:val="heading 5"/>
    <w:basedOn w:val="Normal"/>
    <w:next w:val="Normal"/>
    <w:link w:val="Heading5Char"/>
    <w:autoRedefine/>
    <w:uiPriority w:val="9"/>
    <w:semiHidden/>
    <w:unhideWhenUsed/>
    <w:qFormat/>
    <w:rsid w:val="00312DC4"/>
    <w:pPr>
      <w:keepNext/>
      <w:keepLines/>
      <w:numPr>
        <w:ilvl w:val="4"/>
        <w:numId w:val="12"/>
      </w:numPr>
      <w:spacing w:before="120" w:after="160" w:line="259" w:lineRule="auto"/>
      <w:jc w:val="left"/>
      <w:outlineLvl w:val="4"/>
    </w:pPr>
    <w:rPr>
      <w:rFonts w:eastAsiaTheme="majorEastAsia" w:cstheme="majorBidi"/>
      <w:b/>
      <w:color w:val="000000" w:themeColor="text1"/>
      <w:lang w:val="en-US"/>
    </w:rPr>
  </w:style>
  <w:style w:type="paragraph" w:styleId="Heading6">
    <w:name w:val="heading 6"/>
    <w:basedOn w:val="Normal"/>
    <w:next w:val="Normal"/>
    <w:link w:val="Heading6Char"/>
    <w:autoRedefine/>
    <w:uiPriority w:val="9"/>
    <w:semiHidden/>
    <w:unhideWhenUsed/>
    <w:qFormat/>
    <w:rsid w:val="00312DC4"/>
    <w:pPr>
      <w:keepNext/>
      <w:keepLines/>
      <w:numPr>
        <w:ilvl w:val="5"/>
        <w:numId w:val="12"/>
      </w:numPr>
      <w:spacing w:before="120" w:after="160" w:line="259" w:lineRule="auto"/>
      <w:jc w:val="left"/>
      <w:outlineLvl w:val="5"/>
    </w:pPr>
    <w:rPr>
      <w:rFonts w:eastAsiaTheme="majorEastAsia" w:cstheme="majorBidi"/>
      <w:b/>
      <w:color w:val="000000" w:themeColor="text1"/>
      <w:lang w:val="en-US"/>
    </w:rPr>
  </w:style>
  <w:style w:type="paragraph" w:styleId="Heading7">
    <w:name w:val="heading 7"/>
    <w:basedOn w:val="Normal"/>
    <w:next w:val="Normal"/>
    <w:link w:val="Heading7Char"/>
    <w:autoRedefine/>
    <w:uiPriority w:val="9"/>
    <w:semiHidden/>
    <w:unhideWhenUsed/>
    <w:qFormat/>
    <w:rsid w:val="00312DC4"/>
    <w:pPr>
      <w:keepNext/>
      <w:keepLines/>
      <w:numPr>
        <w:ilvl w:val="6"/>
        <w:numId w:val="12"/>
      </w:numPr>
      <w:spacing w:before="120" w:after="160" w:line="259" w:lineRule="auto"/>
      <w:jc w:val="left"/>
      <w:outlineLvl w:val="6"/>
    </w:pPr>
    <w:rPr>
      <w:rFonts w:eastAsiaTheme="majorEastAsia" w:cstheme="majorBidi"/>
      <w:b/>
      <w:iCs/>
      <w:color w:val="000000" w:themeColor="tex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69D"/>
    <w:rPr>
      <w:rFonts w:ascii="Sylfaen" w:eastAsiaTheme="majorEastAsia" w:hAnsi="Sylfaen" w:cstheme="majorBidi"/>
      <w:b/>
      <w:color w:val="000000" w:themeColor="text1"/>
      <w:szCs w:val="32"/>
    </w:rPr>
  </w:style>
  <w:style w:type="character" w:customStyle="1" w:styleId="Heading3Char">
    <w:name w:val="Heading 3 Char"/>
    <w:basedOn w:val="DefaultParagraphFont"/>
    <w:link w:val="Heading3"/>
    <w:uiPriority w:val="9"/>
    <w:semiHidden/>
    <w:rsid w:val="001D669D"/>
    <w:rPr>
      <w:rFonts w:ascii="Sylfaen" w:eastAsiaTheme="majorEastAsia" w:hAnsi="Sylfaen" w:cstheme="majorBidi"/>
      <w:b/>
      <w:color w:val="000000" w:themeColor="text1"/>
      <w:szCs w:val="24"/>
    </w:rPr>
  </w:style>
  <w:style w:type="character" w:customStyle="1" w:styleId="Heading4Char">
    <w:name w:val="Heading 4 Char"/>
    <w:basedOn w:val="DefaultParagraphFont"/>
    <w:link w:val="Heading4"/>
    <w:uiPriority w:val="9"/>
    <w:semiHidden/>
    <w:rsid w:val="001D669D"/>
    <w:rPr>
      <w:rFonts w:ascii="Sylfaen" w:eastAsiaTheme="majorEastAsia" w:hAnsi="Sylfaen" w:cstheme="majorBidi"/>
      <w:b/>
      <w:iCs/>
      <w:color w:val="000000" w:themeColor="text1"/>
    </w:rPr>
  </w:style>
  <w:style w:type="character" w:customStyle="1" w:styleId="Heading5Char">
    <w:name w:val="Heading 5 Char"/>
    <w:basedOn w:val="DefaultParagraphFont"/>
    <w:link w:val="Heading5"/>
    <w:uiPriority w:val="9"/>
    <w:semiHidden/>
    <w:rsid w:val="001D669D"/>
    <w:rPr>
      <w:rFonts w:ascii="Sylfaen" w:eastAsiaTheme="majorEastAsia" w:hAnsi="Sylfaen" w:cstheme="majorBidi"/>
      <w:b/>
      <w:color w:val="000000" w:themeColor="text1"/>
    </w:rPr>
  </w:style>
  <w:style w:type="character" w:customStyle="1" w:styleId="Heading6Char">
    <w:name w:val="Heading 6 Char"/>
    <w:basedOn w:val="DefaultParagraphFont"/>
    <w:link w:val="Heading6"/>
    <w:uiPriority w:val="9"/>
    <w:semiHidden/>
    <w:rsid w:val="001D669D"/>
    <w:rPr>
      <w:rFonts w:ascii="Sylfaen" w:eastAsiaTheme="majorEastAsia" w:hAnsi="Sylfaen" w:cstheme="majorBidi"/>
      <w:b/>
      <w:color w:val="000000" w:themeColor="text1"/>
    </w:rPr>
  </w:style>
  <w:style w:type="character" w:customStyle="1" w:styleId="Heading7Char">
    <w:name w:val="Heading 7 Char"/>
    <w:basedOn w:val="DefaultParagraphFont"/>
    <w:link w:val="Heading7"/>
    <w:uiPriority w:val="9"/>
    <w:semiHidden/>
    <w:rsid w:val="009208AE"/>
    <w:rPr>
      <w:rFonts w:ascii="Sylfaen" w:eastAsiaTheme="majorEastAsia" w:hAnsi="Sylfaen" w:cstheme="majorBidi"/>
      <w:b/>
      <w:iCs/>
      <w:color w:val="000000" w:themeColor="text1"/>
    </w:rPr>
  </w:style>
  <w:style w:type="character" w:customStyle="1" w:styleId="Heading2Char">
    <w:name w:val="Heading 2 Char"/>
    <w:basedOn w:val="DefaultParagraphFont"/>
    <w:link w:val="Heading2"/>
    <w:uiPriority w:val="9"/>
    <w:rsid w:val="00312DC4"/>
    <w:rPr>
      <w:rFonts w:ascii="Sylfaen" w:eastAsiaTheme="majorEastAsia" w:hAnsi="Sylfaen" w:cstheme="majorBidi"/>
      <w:b/>
      <w:color w:val="000000" w:themeColor="text1"/>
      <w:szCs w:val="26"/>
    </w:rPr>
  </w:style>
  <w:style w:type="paragraph" w:customStyle="1" w:styleId="Style41">
    <w:name w:val="Style4.1"/>
    <w:basedOn w:val="Normal"/>
    <w:next w:val="Normal"/>
    <w:link w:val="Style41Char"/>
    <w:qFormat/>
    <w:rsid w:val="00563063"/>
    <w:pPr>
      <w:numPr>
        <w:ilvl w:val="2"/>
        <w:numId w:val="14"/>
      </w:numPr>
      <w:spacing w:before="120" w:line="259" w:lineRule="auto"/>
      <w:ind w:left="720"/>
      <w:contextualSpacing/>
      <w:jc w:val="left"/>
    </w:pPr>
    <w:rPr>
      <w:b/>
      <w:color w:val="000000" w:themeColor="text1"/>
      <w:lang w:val="en-US"/>
    </w:rPr>
  </w:style>
  <w:style w:type="character" w:customStyle="1" w:styleId="Style41Char">
    <w:name w:val="Style4.1 Char"/>
    <w:basedOn w:val="DefaultParagraphFont"/>
    <w:link w:val="Style41"/>
    <w:rsid w:val="00563063"/>
    <w:rPr>
      <w:b/>
      <w:color w:val="000000" w:themeColor="text1"/>
    </w:rPr>
  </w:style>
  <w:style w:type="paragraph" w:styleId="ListParagraph">
    <w:name w:val="List Paragraph"/>
    <w:basedOn w:val="Normal"/>
    <w:uiPriority w:val="34"/>
    <w:qFormat/>
    <w:rsid w:val="00DF0B7E"/>
    <w:pPr>
      <w:ind w:left="720"/>
      <w:contextualSpacing/>
    </w:pPr>
  </w:style>
  <w:style w:type="table" w:styleId="TableGrid">
    <w:name w:val="Table Grid"/>
    <w:basedOn w:val="TableNormal"/>
    <w:uiPriority w:val="39"/>
    <w:rsid w:val="00DF0B7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2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0BD"/>
    <w:rPr>
      <w:rFonts w:ascii="Segoe UI" w:hAnsi="Segoe UI" w:cs="Segoe UI"/>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MePariShvili</dc:creator>
  <cp:keywords/>
  <dc:description/>
  <cp:lastModifiedBy>Juguli</cp:lastModifiedBy>
  <cp:revision>5</cp:revision>
  <cp:lastPrinted>2020-04-10T11:59:00Z</cp:lastPrinted>
  <dcterms:created xsi:type="dcterms:W3CDTF">2020-01-10T10:34:00Z</dcterms:created>
  <dcterms:modified xsi:type="dcterms:W3CDTF">2020-04-10T12:00:00Z</dcterms:modified>
</cp:coreProperties>
</file>