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1A" w:rsidRPr="00641386" w:rsidRDefault="007C281A" w:rsidP="007C281A">
      <w:pPr>
        <w:spacing w:before="120" w:after="120"/>
        <w:rPr>
          <w:b/>
          <w:sz w:val="24"/>
          <w:szCs w:val="24"/>
        </w:rPr>
      </w:pPr>
      <w:r w:rsidRPr="00641386">
        <w:rPr>
          <w:b/>
          <w:sz w:val="24"/>
          <w:szCs w:val="24"/>
        </w:rPr>
        <w:t xml:space="preserve">ინფორმაცია </w:t>
      </w:r>
    </w:p>
    <w:p w:rsidR="007C281A" w:rsidRPr="00641386" w:rsidRDefault="007C281A" w:rsidP="007C281A">
      <w:pPr>
        <w:spacing w:before="120" w:after="120"/>
        <w:rPr>
          <w:b/>
          <w:sz w:val="24"/>
          <w:szCs w:val="24"/>
        </w:rPr>
      </w:pPr>
      <w:r w:rsidRPr="00641386">
        <w:rPr>
          <w:b/>
          <w:sz w:val="24"/>
          <w:szCs w:val="24"/>
        </w:rPr>
        <w:t>საქართველოს გარემოს დაცვისა და სოფლის მეურნეობის სამინისტროს 2021 წლის N2552/01 წერილში მოცემულ საკითხებზე რეაგირების თაობაზე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9360"/>
        <w:gridCol w:w="4563"/>
      </w:tblGrid>
      <w:tr w:rsidR="007C281A" w:rsidTr="00357E00">
        <w:tc>
          <w:tcPr>
            <w:tcW w:w="625" w:type="dxa"/>
            <w:vAlign w:val="center"/>
          </w:tcPr>
          <w:p w:rsidR="007C281A" w:rsidRPr="007E2C1A" w:rsidRDefault="007C281A" w:rsidP="00357E00">
            <w:pPr>
              <w:rPr>
                <w:b/>
              </w:rPr>
            </w:pPr>
            <w:r w:rsidRPr="007E2C1A">
              <w:rPr>
                <w:b/>
              </w:rPr>
              <w:t>N</w:t>
            </w:r>
          </w:p>
        </w:tc>
        <w:tc>
          <w:tcPr>
            <w:tcW w:w="9360" w:type="dxa"/>
            <w:vAlign w:val="center"/>
          </w:tcPr>
          <w:p w:rsidR="007C281A" w:rsidRPr="007E2C1A" w:rsidRDefault="007C281A" w:rsidP="00357E00">
            <w:pPr>
              <w:rPr>
                <w:b/>
              </w:rPr>
            </w:pPr>
            <w:r w:rsidRPr="007E2C1A">
              <w:rPr>
                <w:b/>
              </w:rPr>
              <w:t>საკითხები/შენიშვნები</w:t>
            </w:r>
          </w:p>
        </w:tc>
        <w:tc>
          <w:tcPr>
            <w:tcW w:w="4563" w:type="dxa"/>
            <w:vAlign w:val="center"/>
          </w:tcPr>
          <w:p w:rsidR="007C281A" w:rsidRPr="007E2C1A" w:rsidRDefault="007C281A" w:rsidP="00357E00">
            <w:pPr>
              <w:rPr>
                <w:b/>
              </w:rPr>
            </w:pPr>
            <w:r w:rsidRPr="007E2C1A">
              <w:rPr>
                <w:b/>
              </w:rPr>
              <w:t>საკითხებზე/შენიშვნებზე რეაგირება</w:t>
            </w:r>
          </w:p>
        </w:tc>
      </w:tr>
      <w:tr w:rsidR="007C281A" w:rsidTr="00357E00">
        <w:tc>
          <w:tcPr>
            <w:tcW w:w="625" w:type="dxa"/>
          </w:tcPr>
          <w:p w:rsidR="007C281A" w:rsidRDefault="007C281A" w:rsidP="00357E00">
            <w:r>
              <w:t>1</w:t>
            </w:r>
          </w:p>
        </w:tc>
        <w:tc>
          <w:tcPr>
            <w:tcW w:w="9360" w:type="dxa"/>
            <w:vAlign w:val="center"/>
          </w:tcPr>
          <w:p w:rsidR="007C281A" w:rsidRDefault="007C281A" w:rsidP="00357E00">
            <w:pPr>
              <w:jc w:val="left"/>
            </w:pPr>
            <w:r>
              <w:t>სათავე ნაგებობიდან ეკოლოგიური ხარჯის საგანგებო მოწყობილობით (მილი, ღიობი) გატარების უზრუნველყოფის ღონისძიებების შესახებ ინფორმაცია;</w:t>
            </w:r>
          </w:p>
        </w:tc>
        <w:tc>
          <w:tcPr>
            <w:tcW w:w="4563" w:type="dxa"/>
          </w:tcPr>
          <w:p w:rsidR="007C281A" w:rsidRDefault="007C281A" w:rsidP="00357E00">
            <w:pPr>
              <w:spacing w:before="120" w:after="120"/>
              <w:jc w:val="both"/>
            </w:pPr>
            <w:r>
              <w:t>გთხოვთ იხილოთ დანართი N1.</w:t>
            </w:r>
          </w:p>
          <w:p w:rsidR="007C281A" w:rsidRDefault="007C281A" w:rsidP="00357E00">
            <w:pPr>
              <w:jc w:val="both"/>
            </w:pPr>
            <w:r>
              <w:t xml:space="preserve">დანართში მოცემული გაანგარიშების შედეგების მიხედვით ნატანები 3 ჰესისათვის დადგენილი ეკოლოგიური ხარჯის ნაწილი </w:t>
            </w:r>
            <w:r w:rsidRPr="00F40CD4">
              <w:rPr>
                <w:rFonts w:cs="Times New Roman"/>
              </w:rPr>
              <w:t>0,13 მ</w:t>
            </w:r>
            <w:r w:rsidRPr="00F40CD4">
              <w:rPr>
                <w:rFonts w:cs="Times New Roman"/>
                <w:vertAlign w:val="superscript"/>
              </w:rPr>
              <w:t>3</w:t>
            </w:r>
            <w:r w:rsidRPr="00F40CD4">
              <w:rPr>
                <w:rFonts w:cs="Times New Roman"/>
              </w:rPr>
              <w:t>/წმ</w:t>
            </w:r>
            <w:r>
              <w:rPr>
                <w:rFonts w:cs="Times New Roman"/>
              </w:rPr>
              <w:t xml:space="preserve"> </w:t>
            </w:r>
            <w:r>
              <w:t xml:space="preserve">გატარებული იქნება თევზსავალის საშუალებით, ხოლო დანარჩენი </w:t>
            </w:r>
            <w:r w:rsidRPr="00F40CD4">
              <w:rPr>
                <w:rFonts w:cs="Times New Roman"/>
              </w:rPr>
              <w:t>0,36 მ</w:t>
            </w:r>
            <w:r w:rsidRPr="00F40CD4">
              <w:rPr>
                <w:rFonts w:cs="Times New Roman"/>
                <w:vertAlign w:val="superscript"/>
              </w:rPr>
              <w:t>3</w:t>
            </w:r>
            <w:r w:rsidRPr="00F40CD4">
              <w:rPr>
                <w:rFonts w:cs="Times New Roman"/>
              </w:rPr>
              <w:t>/წმ-ის</w:t>
            </w:r>
            <w:r>
              <w:rPr>
                <w:rFonts w:cs="Times New Roman"/>
              </w:rPr>
              <w:t xml:space="preserve"> გატარება მიხდება 315 მმ დიამეტრის მილის საშუალებით, რომელიც მოწყობა თევზსავალი ნაგებობის გვერდით (ნახაზი 1). </w:t>
            </w:r>
          </w:p>
        </w:tc>
      </w:tr>
      <w:tr w:rsidR="007C281A" w:rsidTr="00357E00">
        <w:tc>
          <w:tcPr>
            <w:tcW w:w="625" w:type="dxa"/>
          </w:tcPr>
          <w:p w:rsidR="007C281A" w:rsidRDefault="007C281A" w:rsidP="00357E00">
            <w:r>
              <w:t>2</w:t>
            </w:r>
          </w:p>
        </w:tc>
        <w:tc>
          <w:tcPr>
            <w:tcW w:w="9360" w:type="dxa"/>
            <w:vAlign w:val="center"/>
          </w:tcPr>
          <w:p w:rsidR="007C281A" w:rsidRDefault="007C281A" w:rsidP="00357E00">
            <w:pPr>
              <w:jc w:val="left"/>
            </w:pPr>
            <w:r>
              <w:t>წარმოდგენილ იქნეს გაერთიანებული ერების ორგანიზაციის, სურსათისა და სოფლის მეურნეობის ორგანიზაციის მიერ შემუშავებული სახელმძღვანელოს ,,</w:t>
            </w:r>
            <w:proofErr w:type="spellStart"/>
            <w:r>
              <w:t>თევზსავალები</w:t>
            </w:r>
            <w:proofErr w:type="spellEnd"/>
            <w:r>
              <w:t>: პროექტირება, აზომვები და მონიტორინგი" (რომი, 2002) ან სხვა შესაბამისი დოკუმენტის მოთხოვნათა გათვალისწინებით ჩატარებული ჰიდრავლიკური გაანგარიშებები (ხარჯი, სიჩქარე, ენერგიის მოცულობითი გაფანტვის სიდიდე) და თევზსავალის საპროექტო დოკუმენტაცია, თევზსავალის ეფექტურობის დადასტურების მიზნით;</w:t>
            </w:r>
          </w:p>
        </w:tc>
        <w:tc>
          <w:tcPr>
            <w:tcW w:w="4563" w:type="dxa"/>
          </w:tcPr>
          <w:p w:rsidR="007C281A" w:rsidRDefault="007C281A" w:rsidP="00357E00">
            <w:pPr>
              <w:jc w:val="both"/>
            </w:pPr>
            <w:r>
              <w:t>გთხოვთ იხილოთ დანართი N1.</w:t>
            </w:r>
          </w:p>
        </w:tc>
      </w:tr>
      <w:tr w:rsidR="007C281A" w:rsidTr="00357E00">
        <w:tc>
          <w:tcPr>
            <w:tcW w:w="625" w:type="dxa"/>
          </w:tcPr>
          <w:p w:rsidR="007C281A" w:rsidRDefault="007C281A" w:rsidP="00357E00">
            <w:r>
              <w:t>3</w:t>
            </w:r>
          </w:p>
        </w:tc>
        <w:tc>
          <w:tcPr>
            <w:tcW w:w="9360" w:type="dxa"/>
          </w:tcPr>
          <w:p w:rsidR="007C281A" w:rsidRDefault="007C281A" w:rsidP="00357E00">
            <w:pPr>
              <w:jc w:val="both"/>
            </w:pPr>
            <w:r>
              <w:t>ძალოვანი კვანძის უბანზე მაქსიმალური ხარჯების გავლისას დამყარებული დონეებისა და კალაპოტის გარეცხვის სავარაუდო სიღრმის, ასევე ტერიტორიის დაცვის საინჟინრო ღონისძიებების შესახებ დეტალური ინფორმაცია;</w:t>
            </w:r>
          </w:p>
        </w:tc>
        <w:tc>
          <w:tcPr>
            <w:tcW w:w="4563" w:type="dxa"/>
          </w:tcPr>
          <w:p w:rsidR="007C281A" w:rsidRDefault="007C281A" w:rsidP="00357E00">
            <w:pPr>
              <w:jc w:val="both"/>
            </w:pPr>
            <w:r>
              <w:t>გთხოვთ იხილოთ დანართი N2.</w:t>
            </w:r>
          </w:p>
        </w:tc>
      </w:tr>
      <w:tr w:rsidR="007C281A" w:rsidTr="00357E00">
        <w:tc>
          <w:tcPr>
            <w:tcW w:w="625" w:type="dxa"/>
          </w:tcPr>
          <w:p w:rsidR="007C281A" w:rsidRDefault="007C281A" w:rsidP="00357E00">
            <w:r>
              <w:t>4</w:t>
            </w:r>
          </w:p>
        </w:tc>
        <w:tc>
          <w:tcPr>
            <w:tcW w:w="9360" w:type="dxa"/>
            <w:vAlign w:val="center"/>
          </w:tcPr>
          <w:p w:rsidR="007C281A" w:rsidRDefault="007C281A" w:rsidP="00357E00">
            <w:pPr>
              <w:jc w:val="left"/>
            </w:pPr>
            <w:r>
              <w:t>მოსალოდნელი კუმულაციური ზემოქმედების გათვალისწინებით, დაზუსტებას საჭიროებს მშენებლობა-ექსპლუატაციის ეტაპზე წყლის ბიომრავალფეროვნებაზე დაკვირვების და ამ საკითხის მონიტორინგის გეგმაში ასახვის შესახებ დამატებითი და დეტალური ინფორმაცია, საჭიროების შემთხვევაში სათანადო ზემოქმედების თავიდან აცილების, შერბილების, ან/და საკომპენსაციო ღონისძიებების დასახვა-განხორციელების მიზნით;</w:t>
            </w:r>
          </w:p>
        </w:tc>
        <w:tc>
          <w:tcPr>
            <w:tcW w:w="4563" w:type="dxa"/>
          </w:tcPr>
          <w:p w:rsidR="007C281A" w:rsidRDefault="007C281A" w:rsidP="00357E00">
            <w:pPr>
              <w:jc w:val="both"/>
            </w:pPr>
            <w:r>
              <w:t>გთხოვთ იხილოთ დანართი N3.</w:t>
            </w:r>
          </w:p>
        </w:tc>
      </w:tr>
      <w:tr w:rsidR="007C281A" w:rsidTr="00357E00">
        <w:tc>
          <w:tcPr>
            <w:tcW w:w="625" w:type="dxa"/>
          </w:tcPr>
          <w:p w:rsidR="007C281A" w:rsidRDefault="007C281A" w:rsidP="00357E00">
            <w:r>
              <w:lastRenderedPageBreak/>
              <w:t>5</w:t>
            </w:r>
          </w:p>
        </w:tc>
        <w:tc>
          <w:tcPr>
            <w:tcW w:w="9360" w:type="dxa"/>
            <w:vAlign w:val="center"/>
          </w:tcPr>
          <w:p w:rsidR="007C281A" w:rsidRDefault="007C281A" w:rsidP="00357E00">
            <w:pPr>
              <w:jc w:val="left"/>
            </w:pPr>
            <w:r>
              <w:t xml:space="preserve">დეტალური ინფორმაცია სათავე ნაგებობის მშენებლობის პერიოდში (მდინარის </w:t>
            </w:r>
            <w:proofErr w:type="spellStart"/>
            <w:r>
              <w:t>ზღუდარებით</w:t>
            </w:r>
            <w:proofErr w:type="spellEnd"/>
            <w:r>
              <w:t xml:space="preserve"> გადაკეტვა/გახსნა) იქთიოფაუნისათვის მიყენებული ზარალის პროგნოზისა და შესაბამისი საკომპენსაციო ღონისძიებების შესახებ ინფორმაცია;</w:t>
            </w:r>
          </w:p>
        </w:tc>
        <w:tc>
          <w:tcPr>
            <w:tcW w:w="4563" w:type="dxa"/>
          </w:tcPr>
          <w:p w:rsidR="007C281A" w:rsidRDefault="007C281A" w:rsidP="00357E00">
            <w:pPr>
              <w:jc w:val="both"/>
            </w:pPr>
            <w:r>
              <w:t>გთხოვთ იხილოთ დანართი N4.</w:t>
            </w:r>
          </w:p>
        </w:tc>
      </w:tr>
      <w:tr w:rsidR="007C281A" w:rsidTr="00357E00">
        <w:tc>
          <w:tcPr>
            <w:tcW w:w="625" w:type="dxa"/>
          </w:tcPr>
          <w:p w:rsidR="007C281A" w:rsidRDefault="007C281A" w:rsidP="00357E00">
            <w:r>
              <w:t>6</w:t>
            </w:r>
          </w:p>
        </w:tc>
        <w:tc>
          <w:tcPr>
            <w:tcW w:w="9360" w:type="dxa"/>
          </w:tcPr>
          <w:p w:rsidR="007C281A" w:rsidRDefault="007C281A" w:rsidP="00357E00">
            <w:pPr>
              <w:jc w:val="both"/>
            </w:pPr>
            <w:r>
              <w:t xml:space="preserve">სსიპ ,,გარემოს ეროვნული სააგენტოს“ ინფორმაციით, მდ. ნატანების მარჯვენა ფერდობზე, საპროექტო სადერივაციო მილსადენის გასწვრივ, ფიქსირდება ორი, დღეისათვის სტაბილურ მდგომარეობაში მყოფი, </w:t>
            </w:r>
            <w:proofErr w:type="spellStart"/>
            <w:r>
              <w:t>ძველმეწყრული</w:t>
            </w:r>
            <w:proofErr w:type="spellEnd"/>
            <w:r>
              <w:t xml:space="preserve"> სხეული (</w:t>
            </w:r>
            <w:proofErr w:type="spellStart"/>
            <w:r>
              <w:t>კოორდ</w:t>
            </w:r>
            <w:proofErr w:type="spellEnd"/>
            <w:r>
              <w:t xml:space="preserve">: 1. 264509-4642900; 2. 264797-4642470). დღეისათვის სტაბილური </w:t>
            </w:r>
            <w:proofErr w:type="spellStart"/>
            <w:r>
              <w:t>ძველმეწყრული</w:t>
            </w:r>
            <w:proofErr w:type="spellEnd"/>
            <w:r>
              <w:t xml:space="preserve"> სხეულის კონტურში ხვდება, ასევე სამშენებლო ბანაკისათვის შერჩეული ტერიტორია (ბანაკი №1). აღნიშნული გარემოებების გათვალისწინებით წარმოდგენილ უნდა იქნეს იდენტიფიცირებული </w:t>
            </w:r>
            <w:proofErr w:type="spellStart"/>
            <w:r>
              <w:t>ძველმეწყრული</w:t>
            </w:r>
            <w:proofErr w:type="spellEnd"/>
            <w:r>
              <w:t xml:space="preserve"> სხეულების, შესაძლო გააქტიურებისა და მოსალოდნელი რისკების კონკრეტული სახის მართვის, შემარბილებელი ღონისძიებების შესახებ დამატებითი/დაზუსტებული ინფორმაცია;</w:t>
            </w:r>
          </w:p>
        </w:tc>
        <w:tc>
          <w:tcPr>
            <w:tcW w:w="4563" w:type="dxa"/>
          </w:tcPr>
          <w:p w:rsidR="007C281A" w:rsidRDefault="007C281A" w:rsidP="00357E00">
            <w:pPr>
              <w:jc w:val="left"/>
            </w:pPr>
            <w:r>
              <w:t xml:space="preserve">შენიშვნის გათვალისწინებით მიზნით მოხდა საპროექტო ტერიტორიაზე გამოვლენილი </w:t>
            </w:r>
            <w:proofErr w:type="spellStart"/>
            <w:r>
              <w:t>ძველმეწყრული</w:t>
            </w:r>
            <w:proofErr w:type="spellEnd"/>
            <w:r>
              <w:t xml:space="preserve"> სხეულის, შესაძლო გააქტიურების და მოსალოდნელი რისკების შეფასება, </w:t>
            </w:r>
            <w:r w:rsidRPr="006F01FD">
              <w:t xml:space="preserve">მიუხედავად </w:t>
            </w:r>
            <w:r>
              <w:t>იმისა, რომ განსახილველ უბანზე დამყარებულია</w:t>
            </w:r>
            <w:r w:rsidRPr="006F01FD">
              <w:t xml:space="preserve"> ბუნებრივი </w:t>
            </w:r>
            <w:r>
              <w:t>წონასწორობა</w:t>
            </w:r>
            <w:r w:rsidRPr="006F01FD">
              <w:t xml:space="preserve">, განსახორციელებელი პროექტის მდგრადი ფუნქციონირების მიზნით, მშენებლობის პროცესში საჭიროდ </w:t>
            </w:r>
            <w:r>
              <w:t>ჩაითვალა</w:t>
            </w:r>
            <w:r w:rsidRPr="006F01FD">
              <w:t xml:space="preserve"> გარკვეული ტიპის შემარბილებელი ღონისძიებების გატარება, რაც კიდევ უფრო უსაფრთხოს გახდის მშენებლობის და ექსპლუატაციის პერიოდში ჰიდროკვანძის ფუნქციონირებას და შესაბამისად გაზრდის ეკოლოგიური სიტუაციის სტაბილურობის ხარისხს</w:t>
            </w:r>
            <w:r>
              <w:t>, აღნიშნულის საფუძველზე შემუშავებული შემარბილებელი ღონისძიებები მოცემულია დანართში</w:t>
            </w:r>
            <w:r w:rsidR="0066381D">
              <w:t xml:space="preserve"> N5</w:t>
            </w:r>
            <w:bookmarkStart w:id="0" w:name="_GoBack"/>
            <w:bookmarkEnd w:id="0"/>
            <w:r>
              <w:t xml:space="preserve">. </w:t>
            </w:r>
          </w:p>
        </w:tc>
      </w:tr>
    </w:tbl>
    <w:p w:rsidR="007C281A" w:rsidRDefault="007C281A" w:rsidP="007C281A">
      <w:pPr>
        <w:spacing w:before="120" w:after="120"/>
        <w:jc w:val="both"/>
      </w:pPr>
    </w:p>
    <w:p w:rsidR="00F328F8" w:rsidRDefault="00F328F8"/>
    <w:sectPr w:rsidR="00F328F8" w:rsidSect="007C281A">
      <w:pgSz w:w="16834" w:h="11909" w:orient="landscape" w:code="9"/>
      <w:pgMar w:top="1138" w:right="1138" w:bottom="1138" w:left="11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4EB1"/>
    <w:multiLevelType w:val="multilevel"/>
    <w:tmpl w:val="4F20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F14CB6"/>
    <w:multiLevelType w:val="multilevel"/>
    <w:tmpl w:val="925A0E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2B969D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B7"/>
    <w:rsid w:val="003266AE"/>
    <w:rsid w:val="0066381D"/>
    <w:rsid w:val="007539E7"/>
    <w:rsid w:val="00775BC3"/>
    <w:rsid w:val="007955B7"/>
    <w:rsid w:val="007C281A"/>
    <w:rsid w:val="00810D67"/>
    <w:rsid w:val="00E90691"/>
    <w:rsid w:val="00F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9CAD"/>
  <w15:chartTrackingRefBased/>
  <w15:docId w15:val="{B731849A-D2AC-4FA6-8E40-BE7F00F0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ajorBidi"/>
        <w:color w:val="000000" w:themeColor="text1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81A"/>
    <w:pPr>
      <w:spacing w:after="0" w:line="240" w:lineRule="auto"/>
      <w:jc w:val="center"/>
    </w:pPr>
    <w:rPr>
      <w:rFonts w:cstheme="minorBidi"/>
      <w:color w:val="auto"/>
      <w:szCs w:val="22"/>
      <w:lang w:val="ka-G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10D67"/>
    <w:pPr>
      <w:keepNext/>
      <w:keepLines/>
      <w:numPr>
        <w:numId w:val="7"/>
      </w:numPr>
      <w:spacing w:before="120" w:after="120"/>
      <w:jc w:val="both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10D67"/>
    <w:pPr>
      <w:keepNext/>
      <w:keepLines/>
      <w:numPr>
        <w:ilvl w:val="1"/>
        <w:numId w:val="7"/>
      </w:numPr>
      <w:spacing w:before="120" w:after="120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90691"/>
    <w:pPr>
      <w:keepNext/>
      <w:keepLines/>
      <w:numPr>
        <w:ilvl w:val="2"/>
        <w:numId w:val="7"/>
      </w:numPr>
      <w:spacing w:before="40"/>
      <w:jc w:val="both"/>
      <w:outlineLvl w:val="2"/>
    </w:pPr>
    <w:rPr>
      <w:rFonts w:eastAsiaTheme="majorEastAsia" w:cstheme="majorBidi"/>
      <w:b/>
      <w:color w:val="000000" w:themeColor="text1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10D67"/>
    <w:pPr>
      <w:keepNext/>
      <w:keepLines/>
      <w:numPr>
        <w:ilvl w:val="3"/>
        <w:numId w:val="7"/>
      </w:numPr>
      <w:tabs>
        <w:tab w:val="left" w:pos="4320"/>
      </w:tabs>
      <w:spacing w:before="120" w:after="120"/>
      <w:jc w:val="both"/>
      <w:outlineLvl w:val="3"/>
    </w:pPr>
    <w:rPr>
      <w:rFonts w:eastAsiaTheme="majorEastAsia" w:cstheme="majorBidi"/>
      <w:b/>
      <w:iCs/>
      <w:color w:val="000000" w:themeColor="text1"/>
      <w:szCs w:val="3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10D67"/>
    <w:pPr>
      <w:keepNext/>
      <w:keepLines/>
      <w:numPr>
        <w:ilvl w:val="4"/>
        <w:numId w:val="7"/>
      </w:numPr>
      <w:spacing w:before="120" w:after="120"/>
      <w:jc w:val="both"/>
      <w:outlineLvl w:val="4"/>
    </w:pPr>
    <w:rPr>
      <w:rFonts w:eastAsiaTheme="majorEastAsia" w:cstheme="majorBidi"/>
      <w:b/>
      <w:color w:val="000000" w:themeColor="text1"/>
      <w:szCs w:val="3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E90691"/>
    <w:pPr>
      <w:keepNext/>
      <w:keepLines/>
      <w:numPr>
        <w:ilvl w:val="5"/>
        <w:numId w:val="8"/>
      </w:numPr>
      <w:spacing w:before="40"/>
      <w:ind w:left="1152" w:hanging="1152"/>
      <w:jc w:val="both"/>
      <w:outlineLvl w:val="5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D67"/>
    <w:rPr>
      <w:rFonts w:eastAsiaTheme="majorEastAsia"/>
      <w:b/>
      <w:lang w:val="ka-GE"/>
    </w:rPr>
  </w:style>
  <w:style w:type="character" w:customStyle="1" w:styleId="Heading2Char">
    <w:name w:val="Heading 2 Char"/>
    <w:basedOn w:val="DefaultParagraphFont"/>
    <w:link w:val="Heading2"/>
    <w:rsid w:val="00810D67"/>
    <w:rPr>
      <w:rFonts w:eastAsiaTheme="majorEastAsia"/>
      <w:b/>
      <w:szCs w:val="2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775BC3"/>
    <w:rPr>
      <w:rFonts w:eastAsiaTheme="majorEastAsia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0D67"/>
    <w:rPr>
      <w:rFonts w:eastAsiaTheme="majorEastAsia"/>
      <w:b/>
      <w:iCs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810D67"/>
    <w:rPr>
      <w:rFonts w:eastAsiaTheme="majorEastAsia"/>
      <w:b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rsid w:val="00E90691"/>
    <w:rPr>
      <w:rFonts w:eastAsiaTheme="majorEastAsia"/>
      <w:b/>
      <w:szCs w:val="22"/>
      <w:lang w:val="ka-GE"/>
    </w:rPr>
  </w:style>
  <w:style w:type="table" w:styleId="TableGrid">
    <w:name w:val="Table Grid"/>
    <w:basedOn w:val="TableNormal"/>
    <w:uiPriority w:val="39"/>
    <w:rsid w:val="007C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Levani Ozbetelashvili</cp:lastModifiedBy>
  <cp:revision>3</cp:revision>
  <dcterms:created xsi:type="dcterms:W3CDTF">2021-04-13T05:36:00Z</dcterms:created>
  <dcterms:modified xsi:type="dcterms:W3CDTF">2021-04-14T11:12:00Z</dcterms:modified>
</cp:coreProperties>
</file>