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3F" w:rsidRPr="00464F3F" w:rsidRDefault="00464F3F" w:rsidP="00464F3F">
      <w:pPr>
        <w:jc w:val="right"/>
        <w:rPr>
          <w:b/>
          <w:lang w:val="ka-GE"/>
        </w:rPr>
      </w:pPr>
      <w:r w:rsidRPr="00464F3F">
        <w:rPr>
          <w:b/>
          <w:lang w:val="ka-GE"/>
        </w:rPr>
        <w:t>დანართი N3</w:t>
      </w:r>
    </w:p>
    <w:p w:rsidR="0067159E" w:rsidRPr="00012682" w:rsidRDefault="00012682" w:rsidP="00C41198">
      <w:pPr>
        <w:jc w:val="center"/>
        <w:rPr>
          <w:b/>
          <w:lang w:val="ka-GE"/>
        </w:rPr>
      </w:pPr>
      <w:r w:rsidRPr="00012682">
        <w:rPr>
          <w:b/>
          <w:lang w:val="ka-GE"/>
        </w:rPr>
        <w:t>მოსალოდნელი კუმულაციური ზემოქმედების გათვალისწინებით, მშენებლობა-ექსპლუატაციის ეტაპ</w:t>
      </w:r>
      <w:r w:rsidR="00C41198">
        <w:rPr>
          <w:b/>
          <w:lang w:val="ka-GE"/>
        </w:rPr>
        <w:t>ებ</w:t>
      </w:r>
      <w:r w:rsidRPr="00012682">
        <w:rPr>
          <w:b/>
          <w:lang w:val="ka-GE"/>
        </w:rPr>
        <w:t xml:space="preserve">ზე წყლის ბიომრავალფეროვნებაზე დაკვირვების და საჭიროების შემთხვევაში სათანადო ზემოქმედების თავიდან აცილების, შერბილების, ან/და საკომპენსაციო ღონისძიებების დასახვა-განხორციელების </w:t>
      </w:r>
      <w:r w:rsidR="00C41198">
        <w:rPr>
          <w:b/>
          <w:lang w:val="ka-GE"/>
        </w:rPr>
        <w:t>შესახებ</w:t>
      </w:r>
      <w:r w:rsidR="00B74272">
        <w:rPr>
          <w:b/>
          <w:lang w:val="ka-GE"/>
        </w:rPr>
        <w:t>.</w:t>
      </w:r>
    </w:p>
    <w:p w:rsidR="00D82565" w:rsidRDefault="00D82565" w:rsidP="00B5450A">
      <w:pPr>
        <w:jc w:val="both"/>
        <w:rPr>
          <w:lang w:val="ka-GE"/>
        </w:rPr>
      </w:pPr>
      <w:r>
        <w:rPr>
          <w:lang w:val="ka-GE"/>
        </w:rPr>
        <w:t xml:space="preserve">როგოც გზშ-ის ანგარიშშია მოცემული, </w:t>
      </w:r>
      <w:r w:rsidR="00C41198">
        <w:rPr>
          <w:lang w:val="ka-GE"/>
        </w:rPr>
        <w:t>დღეისათვის ნატანები  3 ჰესის საპროექტო არეალში რაიმე სამშენებლო სამუშაოები არ მიმდინარეობს და არც უახლოს პერსპექტივაშია დაგეგმილი რაიმე ობიექტის მოწყობა. მართალია წინა წლებში განიხილებოდა ნატანები 3 ჰესის საპროექტო სათავე ნაგებობების გასწორის ზედა დინებაში ნატანები 1 და ნატანები 2 ჰესების პროექტები, მაგრამ ბოლო პერიოდში ამ პროექტების განხორციელების თაობაზე მსჯელობა შეჩერებულია</w:t>
      </w:r>
      <w:r w:rsidR="00903964">
        <w:rPr>
          <w:lang w:val="ka-GE"/>
        </w:rPr>
        <w:t xml:space="preserve"> და დიდი ალბათობით მათი განხორციელება მოსალოდნელი არ არის</w:t>
      </w:r>
      <w:r w:rsidR="00C41198">
        <w:rPr>
          <w:lang w:val="ka-GE"/>
        </w:rPr>
        <w:t xml:space="preserve">.  </w:t>
      </w:r>
    </w:p>
    <w:p w:rsidR="00D82565" w:rsidRDefault="00C41198" w:rsidP="00B5450A">
      <w:pPr>
        <w:jc w:val="both"/>
        <w:rPr>
          <w:lang w:val="ka-GE"/>
        </w:rPr>
      </w:pPr>
      <w:r>
        <w:rPr>
          <w:lang w:val="ka-GE"/>
        </w:rPr>
        <w:t>გამომდინარე აღნიშნულიდან</w:t>
      </w:r>
      <w:r w:rsidR="00C36EC3">
        <w:rPr>
          <w:lang w:val="ka-GE"/>
        </w:rPr>
        <w:t xml:space="preserve">, </w:t>
      </w:r>
      <w:r w:rsidR="00D93D15">
        <w:t>“</w:t>
      </w:r>
      <w:r w:rsidR="00C36EC3">
        <w:rPr>
          <w:lang w:val="ka-GE"/>
        </w:rPr>
        <w:t>ნატანები 3 ჰესი</w:t>
      </w:r>
      <w:r w:rsidR="00D93D15">
        <w:t>”-</w:t>
      </w:r>
      <w:bookmarkStart w:id="0" w:name="_GoBack"/>
      <w:bookmarkEnd w:id="0"/>
      <w:r w:rsidR="00C36EC3">
        <w:rPr>
          <w:lang w:val="ka-GE"/>
        </w:rPr>
        <w:t xml:space="preserve">ს მშენებლობის ეტაპზე კუმულაციური ზემოქმდების რისკები არ არის მაღალი. მიუხედავად ამისა გამონაკლისის სახით თუ დაუშვებთ, რომ პერსპექტიული ჰესების პროექტები განხორციელდება და სამუშაოები შესრულდება პარალელურ რეჟიმში, კუმულაციური ზემოქმედების რისკებიდან მნიშნელოვანი იქნება მდინარის წყლის ხარისხის გაუარესებასთან დაკავშირებული </w:t>
      </w:r>
      <w:r w:rsidR="006D4338">
        <w:rPr>
          <w:lang w:val="ka-GE"/>
        </w:rPr>
        <w:t xml:space="preserve">ზემოქმედება. ზემოქმედების შემცირება შესაძლებელი იქნება შესაბამისი შემარბილებელი ღონისძიებების განხორციელებით და მდინარის წყლის ხარისხის მონიტორინგით. </w:t>
      </w:r>
      <w:r w:rsidR="00441DBC">
        <w:rPr>
          <w:lang w:val="ka-GE"/>
        </w:rPr>
        <w:t xml:space="preserve">შემარბილებელი ღონისძიებები ძირითადად ითვალისწინებს სათავე ნაგებობების მშენებლობის </w:t>
      </w:r>
      <w:r w:rsidR="00896409">
        <w:rPr>
          <w:lang w:val="ka-GE"/>
        </w:rPr>
        <w:t xml:space="preserve">(წყლის დროებითი დერივაციის ზღუდარების მოწყობა და დემონტაჟი) </w:t>
      </w:r>
      <w:r w:rsidR="00441DBC">
        <w:rPr>
          <w:lang w:val="ka-GE"/>
        </w:rPr>
        <w:t xml:space="preserve">პროცესში </w:t>
      </w:r>
      <w:r w:rsidR="00896409">
        <w:rPr>
          <w:lang w:val="ka-GE"/>
        </w:rPr>
        <w:t xml:space="preserve">გასატარებელ ღონისძიებებს. </w:t>
      </w:r>
      <w:r w:rsidR="00441DBC">
        <w:rPr>
          <w:lang w:val="ka-GE"/>
        </w:rPr>
        <w:t xml:space="preserve">  </w:t>
      </w:r>
      <w:r w:rsidR="006D4338">
        <w:rPr>
          <w:lang w:val="ka-GE"/>
        </w:rPr>
        <w:t xml:space="preserve"> </w:t>
      </w:r>
      <w:r w:rsidR="00C36EC3">
        <w:rPr>
          <w:lang w:val="ka-GE"/>
        </w:rPr>
        <w:t xml:space="preserve"> </w:t>
      </w:r>
    </w:p>
    <w:p w:rsidR="006D4338" w:rsidRDefault="006D4338" w:rsidP="00B5450A">
      <w:pPr>
        <w:jc w:val="both"/>
        <w:rPr>
          <w:lang w:val="ka-GE"/>
        </w:rPr>
      </w:pPr>
      <w:r>
        <w:rPr>
          <w:lang w:val="ka-GE"/>
        </w:rPr>
        <w:t xml:space="preserve">მშენებლობის ფაზისაგან განსხვავებით, შესაძლო კუმულაციური ზემოქმედების რისკები შედარებით მაღალი იქნება ექსპლუატაციის ფაზაზე. განსაკუთრებით აღსანიშნავია მდინარის ჰიდროლოგიური რეჟიმის ცვლილებით და დამბების არსებობით გამოწვეული ზემოქმედება.  </w:t>
      </w:r>
    </w:p>
    <w:p w:rsidR="006D4338" w:rsidRDefault="006D4338" w:rsidP="00B5450A">
      <w:pPr>
        <w:jc w:val="both"/>
        <w:rPr>
          <w:lang w:val="ka-GE"/>
        </w:rPr>
      </w:pPr>
      <w:r>
        <w:rPr>
          <w:lang w:val="ka-GE"/>
        </w:rPr>
        <w:t xml:space="preserve">საპროექტო და პერსპექტიული ჰესების პროექტების განხორციელების შემთხვევაში. მდ. ნატანების დიდი სიგრძის მონაკვეთზე ბუნებრივი ხარჯის მნიშვნელოვანი ნაწილი გადაგდებული იქნება მილსადენებში და </w:t>
      </w:r>
      <w:r w:rsidR="00441DBC">
        <w:rPr>
          <w:lang w:val="ka-GE"/>
        </w:rPr>
        <w:t>მდინარეში გაივლის მხოლოდ ეკოლოგიური ხარჯი, გვერდითი მცირე შენაკადების ხარჯები.</w:t>
      </w:r>
      <w:r w:rsidR="00896409">
        <w:rPr>
          <w:lang w:val="ka-GE"/>
        </w:rPr>
        <w:t xml:space="preserve"> მდინარეში წყლის დონის შემცირება უარყოფითად აისახება იქთიოფაუნის საარსებო გარემოზე და თევზის საკვებ ბაზაზე. ზემოქმდების შემცირების მიზნით, ძირითადი შემარბილებელი ღონისძიებაა, დადგენილი ეკოლოგიური ხარჯის დამბის ქვედა ბიეფში სისტემატურად გატარება  და მდინარის კალაპოტში ერთარხიანი დინების უზრუნველყოფა, წყლის საკმარისი ფენის არსებობის მიზნით.</w:t>
      </w:r>
      <w:r w:rsidR="00F43D65">
        <w:rPr>
          <w:lang w:val="ka-GE"/>
        </w:rPr>
        <w:t xml:space="preserve"> ერთარხიანი დინების უზრუნველყოფის მიზნით,</w:t>
      </w:r>
      <w:r w:rsidR="00896409">
        <w:rPr>
          <w:lang w:val="ka-GE"/>
        </w:rPr>
        <w:t xml:space="preserve"> ყოველი წყალდიდობის შემდეგ საჭიროა ჩატარდეს მდინარის კალაპოტის მონიტორინგი და საჭიროების შემთხვევაში </w:t>
      </w:r>
      <w:r w:rsidR="00F43D65">
        <w:rPr>
          <w:lang w:val="ka-GE"/>
        </w:rPr>
        <w:t xml:space="preserve">კალაპოტის ხელოვნურად კორექტირება.  </w:t>
      </w:r>
    </w:p>
    <w:p w:rsidR="00441DBC" w:rsidRDefault="00F43D65" w:rsidP="00B5450A">
      <w:pPr>
        <w:jc w:val="both"/>
        <w:rPr>
          <w:lang w:val="ka-GE"/>
        </w:rPr>
      </w:pPr>
      <w:r>
        <w:rPr>
          <w:lang w:val="ka-GE"/>
        </w:rPr>
        <w:t xml:space="preserve">დღეისათვის მდ. ნატანების ხეობაში არ არსებობს იქთიოფაუნის მიგრაციის ხელშემშლელი ხელოვნური ბარიერი, მაგრამ ნატანები 3 ჰესის სათავე ნაგებობის მოწყობის შემდეგ ასეთ ბარიერს წარმოადგენს საპროექტო წყალმიმღების დამბა. ანალოგიური ბარიერები შეიქმნება ზედა დინებაში სხვა პერსპექტიული ჰესების პროექტების განხორციელების შემთხვევაშიც. ნატანები 3 ჰესის პროექტი ითვალისწინებს თევზსავალის და თევზამრიდის მოწყობას, რაც ასევე იქნება გათვალისწინებული სხვა ჰესების შემთხვევაშიც. აღნიშნული მნიშვნელოვანი შემარბილებელი ღონისძიებაა ზემოქმედების შემცირების თვალსაზრისით, მაგრამ აუცილებელი იქნება თევზსავალების და </w:t>
      </w:r>
      <w:r w:rsidR="007B6009">
        <w:rPr>
          <w:lang w:val="ka-GE"/>
        </w:rPr>
        <w:t xml:space="preserve">თევზარიდების ტექნიკური გამართულობის და მუშაობს ეფექტურობის მონიტორინგი. იქთიოფაუნის მონიტორინგის განხორციელება იქნება საჭირო ნატანები 3 ჰესის გავლენის ზონაში და მის ზედა და ქვედა ბიეფებში, რაც უდა ითვალისწინებდეს თევზის საკვები </w:t>
      </w:r>
      <w:r w:rsidR="007B6009">
        <w:rPr>
          <w:lang w:val="ka-GE"/>
        </w:rPr>
        <w:lastRenderedPageBreak/>
        <w:t xml:space="preserve">ბაზის და ბიომასის კვლევას წლის ყველა სეზონზე. მონიტორინგის შედეგების მიხედვით, საჭიროების შემთხვევაში, უნდა განისაზღვროს დამატებითი შემარბილებელი და საკომპენსაციო ღონისძიებები.    </w:t>
      </w:r>
    </w:p>
    <w:p w:rsidR="00B5450A" w:rsidRPr="00B5450A" w:rsidRDefault="007B6009" w:rsidP="007B6009">
      <w:pPr>
        <w:jc w:val="both"/>
        <w:rPr>
          <w:lang w:val="ka-GE"/>
        </w:rPr>
      </w:pPr>
      <w:r>
        <w:rPr>
          <w:lang w:val="ka-GE"/>
        </w:rPr>
        <w:t xml:space="preserve">დადგენილი ეკოლოგიური ხარჯის გატარებაზე სისტემატური მონიტორინგის განხორციელების მიზნით დამბის (დამბების) ქვედა ბიეფებში უნდა დამონტაჟდეს ავტომატური ხარჯმზომები, რომ გატარებული ხარჯების აღრიცხვა შესაძლებელი იყოს ონლაინ რეჟიმში.  </w:t>
      </w:r>
      <w:r w:rsidR="00441DBC">
        <w:rPr>
          <w:lang w:val="ka-GE"/>
        </w:rPr>
        <w:t xml:space="preserve"> </w:t>
      </w:r>
    </w:p>
    <w:p w:rsidR="007B6009" w:rsidRDefault="007B6009">
      <w:pPr>
        <w:rPr>
          <w:lang w:val="ka-GE"/>
        </w:rPr>
      </w:pPr>
      <w:r>
        <w:rPr>
          <w:lang w:val="ka-GE"/>
        </w:rPr>
        <w:t xml:space="preserve">იქთიოფაუნაზე კუმულაციური ზემოქმედების შემარბილებელი ძირითადი ღონისძიებები </w:t>
      </w:r>
      <w:r w:rsidR="00CF62F1">
        <w:rPr>
          <w:lang w:val="ka-GE"/>
        </w:rPr>
        <w:t xml:space="preserve">და მონიტორინგის გეგმა </w:t>
      </w:r>
      <w:r>
        <w:rPr>
          <w:lang w:val="ka-GE"/>
        </w:rPr>
        <w:t>მოცემულია ქვემოთ:</w:t>
      </w:r>
    </w:p>
    <w:p w:rsidR="007B6009" w:rsidRPr="007B6009" w:rsidRDefault="007B6009">
      <w:pPr>
        <w:rPr>
          <w:b/>
          <w:lang w:val="ka-GE"/>
        </w:rPr>
      </w:pPr>
      <w:r w:rsidRPr="007B6009">
        <w:rPr>
          <w:b/>
          <w:lang w:val="ka-GE"/>
        </w:rPr>
        <w:t xml:space="preserve">მშენებლობის ფაზა: </w:t>
      </w:r>
    </w:p>
    <w:p w:rsidR="007B6009" w:rsidRPr="00567075" w:rsidRDefault="007B6009" w:rsidP="007B6009">
      <w:pPr>
        <w:numPr>
          <w:ilvl w:val="0"/>
          <w:numId w:val="12"/>
        </w:numPr>
        <w:spacing w:after="0" w:line="240" w:lineRule="auto"/>
        <w:ind w:left="714" w:hanging="357"/>
        <w:contextualSpacing/>
        <w:jc w:val="both"/>
        <w:rPr>
          <w:rFonts w:eastAsia="Times New Roman" w:cs="Sylfaen"/>
          <w:color w:val="auto"/>
          <w:szCs w:val="22"/>
          <w:lang w:val="ka-GE"/>
        </w:rPr>
      </w:pPr>
      <w:r>
        <w:rPr>
          <w:lang w:val="ka-GE"/>
        </w:rPr>
        <w:t xml:space="preserve"> </w:t>
      </w:r>
      <w:r w:rsidRPr="00567075">
        <w:rPr>
          <w:rFonts w:eastAsia="Times New Roman" w:cs="Sylfaen"/>
          <w:color w:val="auto"/>
          <w:szCs w:val="22"/>
          <w:lang w:val="ka-GE"/>
        </w:rPr>
        <w:t xml:space="preserve">იქთიოფაუნაზე ნეგატიური ზემოქმედების რისკების მინიმიზაციის მიზნით, სათავე ნაგებობების სამშენებელო სამუშაოები შესრულებული იქნება მშრალ კალაპოტებში, რისთვისაც დაგეგმილია ზღუდარების და დროებითი სადერივაციო არხის მოწყობა;  </w:t>
      </w:r>
    </w:p>
    <w:p w:rsidR="007B6009" w:rsidRDefault="007B6009" w:rsidP="007B6009">
      <w:pPr>
        <w:numPr>
          <w:ilvl w:val="0"/>
          <w:numId w:val="12"/>
        </w:numPr>
        <w:spacing w:after="0" w:line="240" w:lineRule="auto"/>
        <w:ind w:left="714" w:hanging="357"/>
        <w:contextualSpacing/>
        <w:jc w:val="both"/>
        <w:rPr>
          <w:rFonts w:eastAsia="Times New Roman" w:cs="Sylfaen"/>
          <w:color w:val="auto"/>
          <w:szCs w:val="22"/>
          <w:lang w:val="ka-GE"/>
        </w:rPr>
      </w:pPr>
      <w:r>
        <w:rPr>
          <w:rFonts w:eastAsia="Times New Roman" w:cs="Sylfaen"/>
          <w:color w:val="auto"/>
          <w:szCs w:val="22"/>
          <w:lang w:val="ka-GE"/>
        </w:rPr>
        <w:t xml:space="preserve">იქთიოფაუნაზე ნეგატიური ზემოქმედების რისკების </w:t>
      </w:r>
      <w:r w:rsidR="0045491A">
        <w:rPr>
          <w:rFonts w:eastAsia="Times New Roman" w:cs="Sylfaen"/>
          <w:color w:val="auto"/>
          <w:szCs w:val="22"/>
          <w:lang w:val="ka-GE"/>
        </w:rPr>
        <w:t>შემცირების</w:t>
      </w:r>
      <w:r>
        <w:rPr>
          <w:rFonts w:eastAsia="Times New Roman" w:cs="Sylfaen"/>
          <w:color w:val="auto"/>
          <w:szCs w:val="22"/>
          <w:lang w:val="ka-GE"/>
        </w:rPr>
        <w:t xml:space="preserve"> მიზნით, დროებითი ზღუდარების მოწყობის სამუშაოები შესრულდება შემჭიდროებულ ვადებში (არაუმეტეს 2-3 დღე).</w:t>
      </w:r>
    </w:p>
    <w:p w:rsidR="007B6009" w:rsidRPr="00567075" w:rsidRDefault="007B6009" w:rsidP="007B6009">
      <w:pPr>
        <w:numPr>
          <w:ilvl w:val="0"/>
          <w:numId w:val="12"/>
        </w:numPr>
        <w:spacing w:after="0" w:line="240" w:lineRule="auto"/>
        <w:ind w:left="714" w:hanging="357"/>
        <w:contextualSpacing/>
        <w:jc w:val="both"/>
        <w:rPr>
          <w:rFonts w:eastAsia="Times New Roman" w:cs="Sylfaen"/>
          <w:color w:val="auto"/>
          <w:szCs w:val="22"/>
          <w:lang w:val="ka-GE"/>
        </w:rPr>
      </w:pPr>
      <w:r w:rsidRPr="00567075">
        <w:rPr>
          <w:rFonts w:eastAsia="Times New Roman" w:cs="Sylfaen"/>
          <w:color w:val="auto"/>
          <w:szCs w:val="22"/>
          <w:lang w:val="ka-GE"/>
        </w:rPr>
        <w:t xml:space="preserve">მდინარის ბუნებრივი კალაპოტიდან დროებით მოწყობილ ხელოვნურ კალაპოტში წყლის დინების გადაგდების პროცესს არ </w:t>
      </w:r>
      <w:r w:rsidR="0045491A">
        <w:rPr>
          <w:rFonts w:eastAsia="Times New Roman" w:cs="Sylfaen"/>
          <w:color w:val="auto"/>
          <w:szCs w:val="22"/>
          <w:lang w:val="ka-GE"/>
        </w:rPr>
        <w:t>უნდა ენეს</w:t>
      </w:r>
      <w:r w:rsidRPr="00567075">
        <w:rPr>
          <w:rFonts w:eastAsia="Times New Roman" w:cs="Sylfaen"/>
          <w:color w:val="auto"/>
          <w:szCs w:val="22"/>
          <w:lang w:val="ka-GE"/>
        </w:rPr>
        <w:t xml:space="preserve"> უეცარი ეფექტი. აღნიშნული პროცესი </w:t>
      </w:r>
      <w:r w:rsidR="0045491A">
        <w:rPr>
          <w:rFonts w:eastAsia="Times New Roman" w:cs="Sylfaen"/>
          <w:color w:val="auto"/>
          <w:szCs w:val="22"/>
          <w:lang w:val="ka-GE"/>
        </w:rPr>
        <w:t xml:space="preserve">უნდა </w:t>
      </w:r>
      <w:r w:rsidRPr="00567075">
        <w:rPr>
          <w:rFonts w:eastAsia="Times New Roman" w:cs="Sylfaen"/>
          <w:color w:val="auto"/>
          <w:szCs w:val="22"/>
          <w:lang w:val="ka-GE"/>
        </w:rPr>
        <w:t>შესრულდე</w:t>
      </w:r>
      <w:r w:rsidR="0045491A">
        <w:rPr>
          <w:rFonts w:eastAsia="Times New Roman" w:cs="Sylfaen"/>
          <w:color w:val="auto"/>
          <w:szCs w:val="22"/>
          <w:lang w:val="ka-GE"/>
        </w:rPr>
        <w:t>ს,</w:t>
      </w:r>
      <w:r w:rsidRPr="00567075">
        <w:rPr>
          <w:rFonts w:eastAsia="Times New Roman" w:cs="Sylfaen"/>
          <w:color w:val="auto"/>
          <w:szCs w:val="22"/>
          <w:lang w:val="ka-GE"/>
        </w:rPr>
        <w:t xml:space="preserve"> რაც შეიძლება ხანგრძლივად, რათა თევზებმა შეძლონ ადაპტაცია ახალ გარემო პირობებთან;</w:t>
      </w:r>
    </w:p>
    <w:p w:rsidR="007B6009" w:rsidRPr="00263B16" w:rsidRDefault="007B6009" w:rsidP="007B6009">
      <w:pPr>
        <w:pStyle w:val="ListParagraph"/>
        <w:numPr>
          <w:ilvl w:val="0"/>
          <w:numId w:val="12"/>
        </w:numPr>
        <w:spacing w:after="0"/>
        <w:rPr>
          <w:lang w:val="ka-GE"/>
        </w:rPr>
      </w:pPr>
      <w:r w:rsidRPr="00263B16">
        <w:rPr>
          <w:lang w:val="ka-GE"/>
        </w:rPr>
        <w:t>ხელოვნური კალაპოტის მდინარის ბუნებრივ კალაპოტთან შეუღლების ადგილები მოეწყობა ისე, რომ არ შეიქმნას ხელოვნური ბარიერი თევზების მიგრაციისთვის;</w:t>
      </w:r>
    </w:p>
    <w:p w:rsidR="007B6009" w:rsidRDefault="007B6009" w:rsidP="007B6009">
      <w:pPr>
        <w:numPr>
          <w:ilvl w:val="0"/>
          <w:numId w:val="12"/>
        </w:numPr>
        <w:spacing w:after="0" w:line="240" w:lineRule="auto"/>
        <w:ind w:left="714" w:hanging="357"/>
        <w:contextualSpacing/>
        <w:jc w:val="both"/>
        <w:rPr>
          <w:rFonts w:eastAsia="Times New Roman" w:cs="Sylfaen"/>
          <w:color w:val="auto"/>
          <w:szCs w:val="22"/>
          <w:lang w:val="ka-GE"/>
        </w:rPr>
      </w:pPr>
      <w:r>
        <w:rPr>
          <w:rFonts w:eastAsia="Times New Roman" w:cs="Sylfaen"/>
          <w:color w:val="auto"/>
          <w:szCs w:val="22"/>
          <w:lang w:val="ka-GE"/>
        </w:rPr>
        <w:t xml:space="preserve">სათავე ნაგებობის მშენებლობის მთელი პერიოდის განმავლობაში უზრუნველყოფილი იქნება დროებითი სადერივაციო არხის კალაპოტის მონიტორინგი და კალაპოტის ჩახერგვის და ამასთან დაკავშირებით თევზის გადაადგილების შეზღუდვის პრევენციის მიზნით ჩატარება არხის გაწმენდის სამუშაოები; </w:t>
      </w:r>
    </w:p>
    <w:p w:rsidR="007B6009" w:rsidRPr="00567075" w:rsidRDefault="007B6009" w:rsidP="007B6009">
      <w:pPr>
        <w:pStyle w:val="ListParagraph"/>
        <w:numPr>
          <w:ilvl w:val="0"/>
          <w:numId w:val="12"/>
        </w:numPr>
        <w:spacing w:after="0"/>
        <w:rPr>
          <w:rFonts w:eastAsia="Times New Roman" w:cs="Sylfaen"/>
          <w:color w:val="auto"/>
          <w:szCs w:val="22"/>
          <w:lang w:val="ka-GE"/>
        </w:rPr>
      </w:pPr>
      <w:r w:rsidRPr="00567075">
        <w:rPr>
          <w:rFonts w:eastAsia="Times New Roman" w:cs="Sylfaen"/>
          <w:color w:val="auto"/>
          <w:szCs w:val="22"/>
          <w:lang w:val="ka-GE"/>
        </w:rPr>
        <w:t xml:space="preserve">მოხდება ნაპირების და ფერდების გამყარება სხვადასხვა უარყოფითი მოვლენების (ნიადაგის წყალში მოხვედრა, მეწყერი, ღვარცოფი და ა.შ.) პრევენციისთვის. მდინარის კალაპოტში ყველა სახის სამუშაოები განხორციელდება მაქსიმალური სიფრთხილით, რათა </w:t>
      </w:r>
      <w:r>
        <w:rPr>
          <w:rFonts w:eastAsia="Times New Roman" w:cs="Sylfaen"/>
          <w:color w:val="auto"/>
          <w:szCs w:val="22"/>
          <w:lang w:val="ka-GE"/>
        </w:rPr>
        <w:t>მინიმუმამდე შემცირდეს მდინარის წყლის სიმღვრივის მომატების რისკი</w:t>
      </w:r>
      <w:r w:rsidRPr="00567075">
        <w:rPr>
          <w:rFonts w:eastAsia="Times New Roman" w:cs="Sylfaen"/>
          <w:color w:val="auto"/>
          <w:szCs w:val="22"/>
          <w:lang w:val="ka-GE"/>
        </w:rPr>
        <w:t>;</w:t>
      </w:r>
    </w:p>
    <w:p w:rsidR="007B6009" w:rsidRPr="00903CD0" w:rsidRDefault="007B6009" w:rsidP="007B6009">
      <w:pPr>
        <w:numPr>
          <w:ilvl w:val="0"/>
          <w:numId w:val="12"/>
        </w:numPr>
        <w:spacing w:after="0" w:line="240" w:lineRule="auto"/>
        <w:ind w:left="714" w:hanging="357"/>
        <w:contextualSpacing/>
        <w:jc w:val="both"/>
        <w:rPr>
          <w:rFonts w:eastAsia="Times New Roman" w:cs="Sylfaen"/>
          <w:color w:val="auto"/>
          <w:szCs w:val="22"/>
          <w:lang w:val="ka-GE"/>
        </w:rPr>
      </w:pPr>
      <w:r w:rsidRPr="00903CD0">
        <w:rPr>
          <w:rFonts w:eastAsia="Times New Roman" w:cs="Sylfaen"/>
          <w:color w:val="auto"/>
          <w:szCs w:val="22"/>
          <w:lang w:val="ka-GE"/>
        </w:rPr>
        <w:t xml:space="preserve">ხმაურის გავრცელებასთან დაკავშირებული ზემოქმედების შემცირების მიზნით, ზღუდარების მოწყობისა და დემონტაჟის სამუშაოების </w:t>
      </w:r>
      <w:r>
        <w:rPr>
          <w:rFonts w:eastAsia="Times New Roman" w:cs="Sylfaen"/>
          <w:color w:val="auto"/>
          <w:szCs w:val="22"/>
          <w:lang w:val="ka-GE"/>
        </w:rPr>
        <w:t xml:space="preserve">პროცესში გამოყენებული იქნება მხოლოდ ტექნიკურად გამართული სამშენებელო ტექნიკა და მინიმუმამდე შემცირდება მდინარის კალაპოტში დაგეგმილი სამუშაოების შესრულების ვადები. </w:t>
      </w:r>
    </w:p>
    <w:p w:rsidR="007B6009" w:rsidRPr="00567075" w:rsidRDefault="007B6009" w:rsidP="007B6009">
      <w:pPr>
        <w:numPr>
          <w:ilvl w:val="0"/>
          <w:numId w:val="12"/>
        </w:numPr>
        <w:spacing w:after="0" w:line="240" w:lineRule="auto"/>
        <w:ind w:left="714" w:hanging="357"/>
        <w:contextualSpacing/>
        <w:jc w:val="both"/>
        <w:rPr>
          <w:rFonts w:eastAsia="Times New Roman" w:cs="Sylfaen"/>
          <w:color w:val="auto"/>
          <w:szCs w:val="22"/>
          <w:lang w:val="ka-GE"/>
        </w:rPr>
      </w:pPr>
      <w:r w:rsidRPr="00567075">
        <w:rPr>
          <w:rFonts w:eastAsia="Times New Roman" w:cs="Sylfaen"/>
          <w:color w:val="auto"/>
          <w:szCs w:val="22"/>
          <w:lang w:val="ka-GE"/>
        </w:rPr>
        <w:t xml:space="preserve">მდინარის საპროექტო მონაკვეთის დაშრობის პროცესში მოხდება წარმოქმნილი გუბურების დათვალიერება და აქ ჩარჩენილი თევზები გადაყვანილი იქნება მდინარის დინებაში;  </w:t>
      </w:r>
    </w:p>
    <w:p w:rsidR="007B6009" w:rsidRPr="00567075" w:rsidRDefault="007B6009" w:rsidP="007B6009">
      <w:pPr>
        <w:numPr>
          <w:ilvl w:val="0"/>
          <w:numId w:val="12"/>
        </w:numPr>
        <w:spacing w:after="0" w:line="240" w:lineRule="auto"/>
        <w:ind w:left="714" w:hanging="357"/>
        <w:contextualSpacing/>
        <w:jc w:val="both"/>
        <w:rPr>
          <w:rFonts w:eastAsia="Times New Roman" w:cs="Sylfaen"/>
          <w:color w:val="auto"/>
          <w:szCs w:val="22"/>
          <w:lang w:val="ka-GE"/>
        </w:rPr>
      </w:pPr>
      <w:r w:rsidRPr="00567075">
        <w:rPr>
          <w:rFonts w:eastAsia="Times New Roman" w:cs="Sylfaen"/>
          <w:color w:val="auto"/>
          <w:szCs w:val="22"/>
          <w:lang w:val="ka-GE"/>
        </w:rPr>
        <w:t>გატარდება ყველა შემარბილებელი ღონისძიება წყლის ხარისხის შენარჩუნების მიზნით.</w:t>
      </w:r>
    </w:p>
    <w:p w:rsidR="007B6009" w:rsidRPr="008519EF" w:rsidRDefault="007B6009" w:rsidP="007B6009">
      <w:pPr>
        <w:pStyle w:val="ListParagraph"/>
        <w:numPr>
          <w:ilvl w:val="0"/>
          <w:numId w:val="11"/>
        </w:numPr>
        <w:spacing w:after="0"/>
        <w:rPr>
          <w:lang w:val="ka-GE"/>
        </w:rPr>
      </w:pPr>
      <w:r w:rsidRPr="008519EF">
        <w:rPr>
          <w:lang w:val="ka-GE"/>
        </w:rPr>
        <w:t>განხორციელდება მშენებლობაზე დასაქმებული პერსონალის ინსტრუქტაჟი და შესაბამისი გაფრთხილება, მინისტრის ბრძანების № 95,27.12.2013 წლის, ნადირობის წესების შესახებ და მთავრობის დადგენილების № 423, 31.12.2013 წლის, თევზჭერის და თევზის მარაგის დაცვის ტექნიკური რეგლამენტის მიხედვით“.</w:t>
      </w:r>
    </w:p>
    <w:p w:rsidR="0045491A" w:rsidRPr="0045491A" w:rsidRDefault="0045491A" w:rsidP="0045491A">
      <w:pPr>
        <w:spacing w:after="0" w:line="240" w:lineRule="auto"/>
        <w:jc w:val="both"/>
        <w:rPr>
          <w:rFonts w:cstheme="minorBidi"/>
          <w:b/>
          <w:color w:val="auto"/>
          <w:szCs w:val="22"/>
          <w:lang w:val="ka-GE"/>
        </w:rPr>
      </w:pPr>
      <w:r w:rsidRPr="0045491A">
        <w:rPr>
          <w:rFonts w:cstheme="minorBidi"/>
          <w:b/>
          <w:color w:val="auto"/>
          <w:szCs w:val="22"/>
          <w:lang w:val="ka-GE"/>
        </w:rPr>
        <w:t xml:space="preserve">ექსპლუატაციის </w:t>
      </w:r>
      <w:r>
        <w:rPr>
          <w:rFonts w:cstheme="minorBidi"/>
          <w:b/>
          <w:color w:val="auto"/>
          <w:szCs w:val="22"/>
          <w:lang w:val="ka-GE"/>
        </w:rPr>
        <w:t>ფაზა</w:t>
      </w:r>
      <w:r w:rsidRPr="0045491A">
        <w:rPr>
          <w:rFonts w:cstheme="minorBidi"/>
          <w:b/>
          <w:color w:val="auto"/>
          <w:szCs w:val="22"/>
          <w:lang w:val="ka-GE"/>
        </w:rPr>
        <w:t>:</w:t>
      </w:r>
    </w:p>
    <w:p w:rsidR="0045491A" w:rsidRPr="0045491A" w:rsidRDefault="0045491A" w:rsidP="0045491A">
      <w:pPr>
        <w:numPr>
          <w:ilvl w:val="0"/>
          <w:numId w:val="14"/>
        </w:numPr>
        <w:spacing w:after="0" w:line="240" w:lineRule="auto"/>
        <w:ind w:hanging="294"/>
        <w:contextualSpacing/>
        <w:rPr>
          <w:rFonts w:eastAsia="Times New Roman" w:cs="Sylfaen"/>
          <w:color w:val="auto"/>
          <w:szCs w:val="22"/>
          <w:lang w:val="ka-GE"/>
        </w:rPr>
      </w:pPr>
      <w:r w:rsidRPr="0045491A">
        <w:rPr>
          <w:rFonts w:eastAsia="Times New Roman" w:cs="Sylfaen"/>
          <w:color w:val="auto"/>
          <w:szCs w:val="22"/>
          <w:lang w:val="ka-GE"/>
        </w:rPr>
        <w:t>ეფექტურად განხორციელდება თხევადი ხარჯების მართვა. სათავე ნაგებობიდან ქვედა დინებაში მუდმივად იქნე</w:t>
      </w:r>
      <w:r w:rsidR="008779B5">
        <w:rPr>
          <w:rFonts w:eastAsia="Times New Roman" w:cs="Sylfaen"/>
          <w:color w:val="auto"/>
          <w:szCs w:val="22"/>
          <w:lang w:val="ka-GE"/>
        </w:rPr>
        <w:t>ს</w:t>
      </w:r>
      <w:r w:rsidRPr="0045491A">
        <w:rPr>
          <w:rFonts w:eastAsia="Times New Roman" w:cs="Sylfaen"/>
          <w:color w:val="auto"/>
          <w:szCs w:val="22"/>
          <w:lang w:val="ka-GE"/>
        </w:rPr>
        <w:t xml:space="preserve"> გაშვებული დადგენილი ეკოლოგიური ხარჯ</w:t>
      </w:r>
      <w:r w:rsidR="008779B5">
        <w:rPr>
          <w:rFonts w:eastAsia="Times New Roman" w:cs="Sylfaen"/>
          <w:color w:val="auto"/>
          <w:szCs w:val="22"/>
          <w:lang w:val="ka-GE"/>
        </w:rPr>
        <w:t>ებ</w:t>
      </w:r>
      <w:r w:rsidRPr="0045491A">
        <w:rPr>
          <w:rFonts w:eastAsia="Times New Roman" w:cs="Sylfaen"/>
          <w:color w:val="auto"/>
          <w:szCs w:val="22"/>
          <w:lang w:val="ka-GE"/>
        </w:rPr>
        <w:t>ი;</w:t>
      </w:r>
    </w:p>
    <w:p w:rsidR="008779B5" w:rsidRDefault="008779B5" w:rsidP="0045491A">
      <w:pPr>
        <w:numPr>
          <w:ilvl w:val="0"/>
          <w:numId w:val="14"/>
        </w:numPr>
        <w:spacing w:after="0" w:line="240" w:lineRule="auto"/>
        <w:ind w:hanging="294"/>
        <w:contextualSpacing/>
        <w:rPr>
          <w:rFonts w:eastAsia="Times New Roman" w:cs="Sylfaen"/>
          <w:color w:val="auto"/>
          <w:szCs w:val="22"/>
          <w:lang w:val="ka-GE"/>
        </w:rPr>
      </w:pPr>
      <w:r>
        <w:rPr>
          <w:rFonts w:eastAsia="Times New Roman" w:cs="Sylfaen"/>
          <w:color w:val="auto"/>
          <w:szCs w:val="22"/>
          <w:lang w:val="ka-GE"/>
        </w:rPr>
        <w:lastRenderedPageBreak/>
        <w:t xml:space="preserve">დამყარდეს სისტემატური მონიტორინგი თევზსავალების და თევზარიდების ტექნიკურ გამართულობასა და მუშაობის ეფექტურობაზე;  </w:t>
      </w:r>
    </w:p>
    <w:p w:rsidR="008779B5" w:rsidRDefault="008779B5" w:rsidP="0045491A">
      <w:pPr>
        <w:numPr>
          <w:ilvl w:val="0"/>
          <w:numId w:val="14"/>
        </w:numPr>
        <w:spacing w:after="0" w:line="240" w:lineRule="auto"/>
        <w:ind w:hanging="294"/>
        <w:contextualSpacing/>
        <w:rPr>
          <w:rFonts w:eastAsia="Times New Roman" w:cs="Sylfaen"/>
          <w:color w:val="auto"/>
          <w:szCs w:val="22"/>
          <w:lang w:val="ka-GE"/>
        </w:rPr>
      </w:pPr>
      <w:r>
        <w:rPr>
          <w:rFonts w:eastAsia="Times New Roman" w:cs="Sylfaen"/>
          <w:color w:val="auto"/>
          <w:szCs w:val="22"/>
          <w:lang w:val="ka-GE"/>
        </w:rPr>
        <w:t xml:space="preserve">ჰესების </w:t>
      </w:r>
      <w:r w:rsidR="0045491A" w:rsidRPr="0045491A">
        <w:rPr>
          <w:rFonts w:eastAsia="Times New Roman" w:cs="Sylfaen"/>
          <w:color w:val="auto"/>
          <w:szCs w:val="22"/>
          <w:lang w:val="ka-GE"/>
        </w:rPr>
        <w:t>ოპერირების დაწყებიდან პირველი 2 წლის განმავლობაში უზრუნველყოფილი იქნე</w:t>
      </w:r>
      <w:r>
        <w:rPr>
          <w:rFonts w:eastAsia="Times New Roman" w:cs="Sylfaen"/>
          <w:color w:val="auto"/>
          <w:szCs w:val="22"/>
          <w:lang w:val="ka-GE"/>
        </w:rPr>
        <w:t>ს</w:t>
      </w:r>
      <w:r w:rsidR="0045491A" w:rsidRPr="0045491A">
        <w:rPr>
          <w:rFonts w:eastAsia="Times New Roman" w:cs="Sylfaen"/>
          <w:color w:val="auto"/>
          <w:szCs w:val="22"/>
          <w:lang w:val="ka-GE"/>
        </w:rPr>
        <w:t xml:space="preserve"> იქთიოფაუნის </w:t>
      </w:r>
      <w:r>
        <w:rPr>
          <w:rFonts w:eastAsia="Times New Roman" w:cs="Sylfaen"/>
          <w:color w:val="auto"/>
          <w:szCs w:val="22"/>
          <w:lang w:val="ka-GE"/>
        </w:rPr>
        <w:t>მ</w:t>
      </w:r>
      <w:r w:rsidR="0045491A" w:rsidRPr="0045491A">
        <w:rPr>
          <w:rFonts w:eastAsia="Times New Roman" w:cs="Sylfaen"/>
          <w:color w:val="auto"/>
          <w:szCs w:val="22"/>
          <w:lang w:val="ka-GE"/>
        </w:rPr>
        <w:t xml:space="preserve">ონიტორინგი, </w:t>
      </w:r>
      <w:r>
        <w:rPr>
          <w:rFonts w:eastAsia="Times New Roman" w:cs="Sylfaen"/>
          <w:color w:val="auto"/>
          <w:szCs w:val="22"/>
          <w:lang w:val="ka-GE"/>
        </w:rPr>
        <w:t>რომელიც უნდა ითვალისწინებდეს, ასევე თევზის საკვები ბაზის და ბიომასის კვლევას. მონიტორინგის შედეგების მიხედვით, საჭიროების შემთხვევაში განისაზღვროს დამატებითი შემარბილებელი და საკომპენსაციო ღონისძიებები;</w:t>
      </w:r>
    </w:p>
    <w:p w:rsidR="008779B5" w:rsidRPr="008779B5" w:rsidRDefault="008779B5" w:rsidP="008779B5">
      <w:pPr>
        <w:numPr>
          <w:ilvl w:val="0"/>
          <w:numId w:val="14"/>
        </w:numPr>
        <w:spacing w:before="120" w:after="0" w:line="240" w:lineRule="auto"/>
        <w:ind w:hanging="294"/>
        <w:contextualSpacing/>
        <w:jc w:val="both"/>
        <w:rPr>
          <w:rFonts w:eastAsia="Times New Roman" w:cs="Sylfaen"/>
          <w:color w:val="auto"/>
          <w:szCs w:val="22"/>
          <w:lang w:val="ka-GE"/>
        </w:rPr>
      </w:pPr>
      <w:r>
        <w:rPr>
          <w:rFonts w:eastAsia="Times New Roman" w:cs="Sylfaen"/>
          <w:color w:val="auto"/>
          <w:szCs w:val="22"/>
          <w:lang w:val="ka-GE"/>
        </w:rPr>
        <w:t xml:space="preserve">პროექტების გავლენის ზონაში და </w:t>
      </w:r>
      <w:r w:rsidRPr="008779B5">
        <w:rPr>
          <w:rFonts w:eastAsia="Times New Roman" w:cs="Sylfaen"/>
          <w:color w:val="auto"/>
          <w:szCs w:val="22"/>
          <w:lang w:val="ka-GE"/>
        </w:rPr>
        <w:t>სათაო ნაგებობების ქვედა ბიეფებში 1.5-2.0 კმ-ის სიგრძის მონაკვეთზე განთავსდე</w:t>
      </w:r>
      <w:r>
        <w:rPr>
          <w:rFonts w:eastAsia="Times New Roman" w:cs="Sylfaen"/>
          <w:color w:val="auto"/>
          <w:szCs w:val="22"/>
          <w:lang w:val="ka-GE"/>
        </w:rPr>
        <w:t>ს</w:t>
      </w:r>
      <w:r w:rsidRPr="008779B5">
        <w:rPr>
          <w:rFonts w:eastAsia="Times New Roman" w:cs="Sylfaen"/>
          <w:color w:val="auto"/>
          <w:szCs w:val="22"/>
          <w:lang w:val="ka-GE"/>
        </w:rPr>
        <w:t xml:space="preserve"> თევზის მოპოვების ამკრძალავი და გამაფრთხილებელი ნიშნები;</w:t>
      </w:r>
    </w:p>
    <w:p w:rsidR="008779B5" w:rsidRDefault="008779B5" w:rsidP="0045491A">
      <w:pPr>
        <w:numPr>
          <w:ilvl w:val="0"/>
          <w:numId w:val="14"/>
        </w:numPr>
        <w:spacing w:after="0" w:line="240" w:lineRule="auto"/>
        <w:ind w:hanging="294"/>
        <w:contextualSpacing/>
        <w:rPr>
          <w:rFonts w:eastAsia="Times New Roman" w:cs="Sylfaen"/>
          <w:color w:val="auto"/>
          <w:szCs w:val="22"/>
          <w:lang w:val="ka-GE"/>
        </w:rPr>
      </w:pPr>
      <w:r>
        <w:rPr>
          <w:rFonts w:eastAsia="Times New Roman" w:cs="Sylfaen"/>
          <w:color w:val="auto"/>
          <w:szCs w:val="22"/>
          <w:lang w:val="ka-GE"/>
        </w:rPr>
        <w:t xml:space="preserve">ეკოლოგიური ხარჯის გატარებაზე სისტემატური მონიტორინგის მიზნით დამბების ქვედა ბიეფებში საჭიროა დამონტაჟდეს ავტომატური ხარჯმზომები, რომ შესაძლებელი იყოს გატარებული ხარჯის რაოდენობის სისტემატური მონიტორინგი; </w:t>
      </w:r>
    </w:p>
    <w:p w:rsidR="00CF62F1" w:rsidRPr="0045491A" w:rsidRDefault="00CF62F1" w:rsidP="00CF62F1">
      <w:pPr>
        <w:numPr>
          <w:ilvl w:val="0"/>
          <w:numId w:val="14"/>
        </w:numPr>
        <w:spacing w:after="0" w:line="240" w:lineRule="auto"/>
        <w:ind w:hanging="294"/>
        <w:contextualSpacing/>
        <w:rPr>
          <w:rFonts w:eastAsia="Times New Roman" w:cs="Sylfaen"/>
          <w:color w:val="auto"/>
          <w:szCs w:val="22"/>
          <w:lang w:val="ka-GE"/>
        </w:rPr>
      </w:pPr>
      <w:r>
        <w:rPr>
          <w:rFonts w:eastAsia="Times New Roman" w:cs="Sylfaen"/>
          <w:color w:val="auto"/>
          <w:szCs w:val="22"/>
          <w:lang w:val="ka-GE"/>
        </w:rPr>
        <w:t xml:space="preserve">მდინარეში წყალდიდობის ხარჯის გატარების შემდეგ უნდა გაკონტროლდეს სათავე ნაგებობის ქვედა ბიეფის კალაპოტის მდგომარეობა დ საჭიროების შემთხვევაში   </w:t>
      </w:r>
      <w:r w:rsidRPr="0045491A">
        <w:rPr>
          <w:rFonts w:eastAsia="Times New Roman" w:cs="Sylfaen"/>
          <w:color w:val="auto"/>
          <w:szCs w:val="22"/>
          <w:lang w:val="ka-GE"/>
        </w:rPr>
        <w:t>გატარდე</w:t>
      </w:r>
      <w:r>
        <w:rPr>
          <w:rFonts w:eastAsia="Times New Roman" w:cs="Sylfaen"/>
          <w:color w:val="auto"/>
          <w:szCs w:val="22"/>
          <w:lang w:val="ka-GE"/>
        </w:rPr>
        <w:t>ს</w:t>
      </w:r>
      <w:r w:rsidRPr="0045491A">
        <w:rPr>
          <w:rFonts w:eastAsia="Times New Roman" w:cs="Sylfaen"/>
          <w:color w:val="auto"/>
          <w:szCs w:val="22"/>
          <w:lang w:val="ka-GE"/>
        </w:rPr>
        <w:t xml:space="preserve"> კალაპოტის მართვის ღონისძიებები, რაც გულისხმობს აღნიშნულ უბნებში ხის ნატანისაგან გაწმენდას და </w:t>
      </w:r>
      <w:r>
        <w:rPr>
          <w:rFonts w:eastAsia="Times New Roman" w:cs="Sylfaen"/>
          <w:color w:val="auto"/>
          <w:szCs w:val="22"/>
          <w:lang w:val="ka-GE"/>
        </w:rPr>
        <w:t>ერთარხიანი დინების უზრუნველყოფას;</w:t>
      </w:r>
    </w:p>
    <w:p w:rsidR="0045491A" w:rsidRPr="0045491A" w:rsidRDefault="00CF62F1" w:rsidP="0045491A">
      <w:pPr>
        <w:spacing w:before="120" w:after="0" w:line="240" w:lineRule="auto"/>
        <w:rPr>
          <w:rFonts w:eastAsia="Times New Roman" w:cs="Sylfaen"/>
          <w:color w:val="auto"/>
          <w:szCs w:val="22"/>
          <w:lang w:val="ka-GE"/>
        </w:rPr>
      </w:pPr>
      <w:r>
        <w:rPr>
          <w:rFonts w:eastAsia="Times New Roman" w:cs="Sylfaen"/>
          <w:color w:val="auto"/>
          <w:szCs w:val="22"/>
          <w:lang w:val="ka-GE"/>
        </w:rPr>
        <w:t xml:space="preserve">აღნიშნულთან </w:t>
      </w:r>
      <w:r w:rsidR="0045491A" w:rsidRPr="0045491A">
        <w:rPr>
          <w:rFonts w:eastAsia="Times New Roman" w:cs="Sylfaen"/>
          <w:color w:val="auto"/>
          <w:szCs w:val="22"/>
          <w:lang w:val="ka-GE"/>
        </w:rPr>
        <w:t xml:space="preserve"> ერთად გათვალისწინებული </w:t>
      </w:r>
      <w:r>
        <w:rPr>
          <w:rFonts w:eastAsia="Times New Roman" w:cs="Sylfaen"/>
          <w:color w:val="auto"/>
          <w:szCs w:val="22"/>
          <w:lang w:val="ka-GE"/>
        </w:rPr>
        <w:t xml:space="preserve">ინდა </w:t>
      </w:r>
      <w:r w:rsidR="0045491A" w:rsidRPr="0045491A">
        <w:rPr>
          <w:rFonts w:eastAsia="Times New Roman" w:cs="Sylfaen"/>
          <w:color w:val="auto"/>
          <w:szCs w:val="22"/>
          <w:lang w:val="ka-GE"/>
        </w:rPr>
        <w:t>იქნე</w:t>
      </w:r>
      <w:r>
        <w:rPr>
          <w:rFonts w:eastAsia="Times New Roman" w:cs="Sylfaen"/>
          <w:color w:val="auto"/>
          <w:szCs w:val="22"/>
          <w:lang w:val="ka-GE"/>
        </w:rPr>
        <w:t>ს</w:t>
      </w:r>
      <w:r w:rsidR="0045491A" w:rsidRPr="0045491A">
        <w:rPr>
          <w:rFonts w:eastAsia="Times New Roman" w:cs="Sylfaen"/>
          <w:color w:val="auto"/>
          <w:szCs w:val="22"/>
          <w:lang w:val="ka-GE"/>
        </w:rPr>
        <w:t>:</w:t>
      </w:r>
    </w:p>
    <w:p w:rsidR="0045491A" w:rsidRPr="0045491A" w:rsidRDefault="0045491A" w:rsidP="0045491A">
      <w:pPr>
        <w:numPr>
          <w:ilvl w:val="0"/>
          <w:numId w:val="14"/>
        </w:numPr>
        <w:spacing w:after="0" w:line="240" w:lineRule="auto"/>
        <w:ind w:hanging="294"/>
        <w:contextualSpacing/>
        <w:rPr>
          <w:rFonts w:eastAsia="Times New Roman" w:cs="Sylfaen"/>
          <w:color w:val="auto"/>
          <w:szCs w:val="22"/>
          <w:lang w:val="ka-GE"/>
        </w:rPr>
      </w:pPr>
      <w:r w:rsidRPr="0045491A">
        <w:rPr>
          <w:rFonts w:eastAsia="Times New Roman" w:cs="Sylfaen"/>
          <w:color w:val="auto"/>
          <w:szCs w:val="22"/>
          <w:lang w:val="ka-GE"/>
        </w:rPr>
        <w:t>ზედაპირული წყლების ხარისხის გაუარესების თავიდან აცილების შემარბილებელი ღონისძიე</w:t>
      </w:r>
      <w:r w:rsidR="00CF62F1">
        <w:rPr>
          <w:rFonts w:eastAsia="Times New Roman" w:cs="Sylfaen"/>
          <w:color w:val="auto"/>
          <w:szCs w:val="22"/>
          <w:lang w:val="ka-GE"/>
        </w:rPr>
        <w:t>ბები;</w:t>
      </w:r>
    </w:p>
    <w:p w:rsidR="0045491A" w:rsidRPr="0045491A" w:rsidRDefault="0045491A" w:rsidP="0045491A">
      <w:pPr>
        <w:numPr>
          <w:ilvl w:val="0"/>
          <w:numId w:val="14"/>
        </w:numPr>
        <w:spacing w:after="0" w:line="240" w:lineRule="auto"/>
        <w:ind w:hanging="294"/>
        <w:contextualSpacing/>
        <w:rPr>
          <w:rFonts w:eastAsia="Times New Roman" w:cs="Sylfaen"/>
          <w:color w:val="auto"/>
          <w:szCs w:val="22"/>
          <w:lang w:val="ka-GE"/>
        </w:rPr>
      </w:pPr>
      <w:r w:rsidRPr="0045491A">
        <w:rPr>
          <w:rFonts w:eastAsia="Times New Roman" w:cs="Sylfaen"/>
          <w:color w:val="auto"/>
          <w:szCs w:val="22"/>
          <w:lang w:val="ka-GE"/>
        </w:rPr>
        <w:t>პერსონალს ჩაუტარდე</w:t>
      </w:r>
      <w:r w:rsidR="00CF62F1">
        <w:rPr>
          <w:rFonts w:eastAsia="Times New Roman" w:cs="Sylfaen"/>
          <w:color w:val="auto"/>
          <w:szCs w:val="22"/>
          <w:lang w:val="ka-GE"/>
        </w:rPr>
        <w:t>ს</w:t>
      </w:r>
      <w:r w:rsidRPr="0045491A">
        <w:rPr>
          <w:rFonts w:eastAsia="Times New Roman" w:cs="Sylfaen"/>
          <w:color w:val="auto"/>
          <w:szCs w:val="22"/>
          <w:lang w:val="ka-GE"/>
        </w:rPr>
        <w:t xml:space="preserve"> შესაბამისი ინსტრუქტაჟი თევზების უკანონო მოპოვების აკრძალვასთან დაკავშირებით.</w:t>
      </w:r>
    </w:p>
    <w:p w:rsidR="008779B5" w:rsidRPr="00E963BB" w:rsidRDefault="00E963BB" w:rsidP="00E963BB">
      <w:pPr>
        <w:spacing w:before="120" w:after="120"/>
        <w:jc w:val="both"/>
        <w:rPr>
          <w:szCs w:val="22"/>
          <w:lang w:val="ka-GE"/>
        </w:rPr>
      </w:pPr>
      <w:r>
        <w:rPr>
          <w:lang w:val="ka-GE"/>
        </w:rPr>
        <w:t xml:space="preserve">წინამდებარე შემარბილებელი ღონისძიებები შესრულებული იქნება შპს </w:t>
      </w:r>
      <w:r w:rsidRPr="00E963BB">
        <w:rPr>
          <w:rFonts w:eastAsia="Calibri" w:cs="Times New Roman"/>
          <w:color w:val="000000"/>
          <w:szCs w:val="22"/>
          <w:lang w:val="ka-GE"/>
        </w:rPr>
        <w:t>„უნივერსალ ენერჯი ქორფორეიშნ“</w:t>
      </w:r>
      <w:r>
        <w:rPr>
          <w:rFonts w:eastAsia="Calibri" w:cs="Times New Roman"/>
          <w:color w:val="000000"/>
          <w:szCs w:val="22"/>
          <w:lang w:val="ka-GE"/>
        </w:rPr>
        <w:t xml:space="preserve">-ის მიერ, ხოლო სხვა პროექტების განხორციელების შემთხვევაში, სავალდებულო იქნება ოპერატორი კომპანიებისათვის.   </w:t>
      </w:r>
      <w:r w:rsidRPr="00E963BB">
        <w:rPr>
          <w:rFonts w:eastAsia="Calibri" w:cs="Times New Roman"/>
          <w:color w:val="000000"/>
          <w:szCs w:val="22"/>
          <w:lang w:val="ka-GE"/>
        </w:rPr>
        <w:t xml:space="preserve"> </w:t>
      </w:r>
      <w:r w:rsidRPr="00E963BB">
        <w:rPr>
          <w:szCs w:val="22"/>
          <w:lang w:val="ka-GE"/>
        </w:rPr>
        <w:t xml:space="preserve"> </w:t>
      </w:r>
    </w:p>
    <w:p w:rsidR="00012682" w:rsidRDefault="00012682">
      <w:pPr>
        <w:rPr>
          <w:lang w:val="ka-GE"/>
        </w:rPr>
      </w:pPr>
      <w:r>
        <w:rPr>
          <w:lang w:val="ka-GE"/>
        </w:rPr>
        <w:br w:type="page"/>
      </w:r>
    </w:p>
    <w:p w:rsidR="00012682" w:rsidRDefault="00012682" w:rsidP="00407A45">
      <w:pPr>
        <w:spacing w:after="0" w:line="256" w:lineRule="auto"/>
        <w:jc w:val="center"/>
        <w:rPr>
          <w:rFonts w:eastAsia="Calibri" w:cs="Officina Sans"/>
          <w:b/>
          <w:color w:val="000000"/>
          <w:sz w:val="20"/>
          <w:szCs w:val="20"/>
          <w:lang w:val="ka-GE"/>
        </w:rPr>
        <w:sectPr w:rsidR="00012682" w:rsidSect="003266AE">
          <w:footerReference w:type="default" r:id="rId7"/>
          <w:pgSz w:w="11909" w:h="16834" w:code="9"/>
          <w:pgMar w:top="1138" w:right="1138" w:bottom="1138" w:left="1138" w:header="720" w:footer="720" w:gutter="0"/>
          <w:cols w:space="720"/>
          <w:docGrid w:linePitch="299"/>
        </w:sectPr>
      </w:pPr>
    </w:p>
    <w:p w:rsidR="00012682" w:rsidRPr="00E963BB" w:rsidRDefault="00E963BB" w:rsidP="00E963BB">
      <w:pPr>
        <w:jc w:val="center"/>
        <w:rPr>
          <w:b/>
          <w:lang w:val="ka-GE"/>
        </w:rPr>
      </w:pPr>
      <w:r w:rsidRPr="00E963BB">
        <w:rPr>
          <w:b/>
          <w:lang w:val="ka-GE"/>
        </w:rPr>
        <w:lastRenderedPageBreak/>
        <w:t>იქთიოფაუნაზე ზემოქმედების მონიტორინგის გეგმა ჰესის მშენებლობის და ექსპლუატაციის ფაზებისათვის</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166"/>
        <w:gridCol w:w="2621"/>
        <w:gridCol w:w="2286"/>
        <w:gridCol w:w="3612"/>
        <w:gridCol w:w="1882"/>
      </w:tblGrid>
      <w:tr w:rsidR="001A3ABC" w:rsidRPr="0097786C" w:rsidTr="007773DE">
        <w:trPr>
          <w:trHeight w:val="749"/>
          <w:jc w:val="center"/>
        </w:trPr>
        <w:tc>
          <w:tcPr>
            <w:tcW w:w="76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CF62F1" w:rsidRPr="0097786C" w:rsidRDefault="00CF62F1" w:rsidP="007773DE">
            <w:pPr>
              <w:spacing w:after="0" w:line="256" w:lineRule="auto"/>
              <w:jc w:val="center"/>
              <w:rPr>
                <w:rFonts w:eastAsia="Calibri" w:cs="Officina Sans"/>
                <w:b/>
                <w:color w:val="000000"/>
                <w:sz w:val="20"/>
                <w:szCs w:val="20"/>
                <w:lang w:val="ka-GE"/>
              </w:rPr>
            </w:pPr>
            <w:r w:rsidRPr="0097786C">
              <w:rPr>
                <w:rFonts w:eastAsia="Calibri" w:cs="Officina Sans"/>
                <w:b/>
                <w:color w:val="000000"/>
                <w:sz w:val="20"/>
                <w:szCs w:val="20"/>
                <w:lang w:val="ka-GE"/>
              </w:rPr>
              <w:t>კონტროლის საგანი/ საკონტროლო ქმედება</w:t>
            </w:r>
          </w:p>
        </w:tc>
        <w:tc>
          <w:tcPr>
            <w:tcW w:w="73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CF62F1" w:rsidRPr="0097786C" w:rsidRDefault="00CF62F1" w:rsidP="007773DE">
            <w:pPr>
              <w:spacing w:after="0" w:line="256" w:lineRule="auto"/>
              <w:jc w:val="center"/>
              <w:rPr>
                <w:rFonts w:eastAsia="Calibri" w:cs="Officina Sans"/>
                <w:b/>
                <w:color w:val="000000"/>
                <w:sz w:val="20"/>
                <w:szCs w:val="20"/>
                <w:lang w:val="ka-GE"/>
              </w:rPr>
            </w:pPr>
            <w:r w:rsidRPr="0097786C">
              <w:rPr>
                <w:rFonts w:eastAsia="Calibri" w:cs="Officina Sans"/>
                <w:b/>
                <w:color w:val="000000"/>
                <w:sz w:val="20"/>
                <w:szCs w:val="20"/>
                <w:lang w:val="ka-GE"/>
              </w:rPr>
              <w:t>კონტროლის/სინჯის აღების წერტილი</w:t>
            </w:r>
          </w:p>
        </w:tc>
        <w:tc>
          <w:tcPr>
            <w:tcW w:w="88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CF62F1" w:rsidRPr="0097786C" w:rsidRDefault="00CF62F1" w:rsidP="007773DE">
            <w:pPr>
              <w:spacing w:after="0" w:line="256" w:lineRule="auto"/>
              <w:jc w:val="center"/>
              <w:rPr>
                <w:rFonts w:eastAsia="Calibri" w:cs="Officina Sans"/>
                <w:b/>
                <w:color w:val="000000"/>
                <w:sz w:val="20"/>
                <w:szCs w:val="20"/>
                <w:lang w:val="ka-GE"/>
              </w:rPr>
            </w:pPr>
            <w:r w:rsidRPr="0097786C">
              <w:rPr>
                <w:rFonts w:eastAsia="Calibri" w:cs="Officina Sans"/>
                <w:b/>
                <w:color w:val="000000"/>
                <w:sz w:val="20"/>
                <w:szCs w:val="20"/>
                <w:lang w:val="ka-GE"/>
              </w:rPr>
              <w:t>მეთოდი</w:t>
            </w:r>
          </w:p>
        </w:tc>
        <w:tc>
          <w:tcPr>
            <w:tcW w:w="77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CF62F1" w:rsidRPr="0097786C" w:rsidRDefault="00CF62F1" w:rsidP="007773DE">
            <w:pPr>
              <w:spacing w:after="0" w:line="256" w:lineRule="auto"/>
              <w:jc w:val="center"/>
              <w:rPr>
                <w:rFonts w:eastAsia="Calibri" w:cs="Officina Sans"/>
                <w:b/>
                <w:color w:val="000000"/>
                <w:sz w:val="20"/>
                <w:szCs w:val="20"/>
                <w:lang w:val="ka-GE"/>
              </w:rPr>
            </w:pPr>
            <w:r w:rsidRPr="0097786C">
              <w:rPr>
                <w:rFonts w:eastAsia="Calibri" w:cs="Officina Sans"/>
                <w:b/>
                <w:color w:val="000000"/>
                <w:sz w:val="20"/>
                <w:szCs w:val="20"/>
                <w:lang w:val="ka-GE"/>
              </w:rPr>
              <w:t>სიხშირე/დრო</w:t>
            </w:r>
          </w:p>
        </w:tc>
        <w:tc>
          <w:tcPr>
            <w:tcW w:w="121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CF62F1" w:rsidRPr="0097786C" w:rsidRDefault="00CF62F1" w:rsidP="007773DE">
            <w:pPr>
              <w:spacing w:after="0" w:line="256" w:lineRule="auto"/>
              <w:jc w:val="center"/>
              <w:rPr>
                <w:rFonts w:eastAsia="Calibri" w:cs="Officina Sans"/>
                <w:b/>
                <w:color w:val="000000"/>
                <w:sz w:val="20"/>
                <w:szCs w:val="20"/>
                <w:lang w:val="ka-GE"/>
              </w:rPr>
            </w:pPr>
            <w:r w:rsidRPr="0097786C">
              <w:rPr>
                <w:rFonts w:eastAsia="Calibri" w:cs="Officina Sans"/>
                <w:b/>
                <w:color w:val="000000"/>
                <w:sz w:val="20"/>
                <w:szCs w:val="20"/>
                <w:lang w:val="ka-GE"/>
              </w:rPr>
              <w:t>მიზანი</w:t>
            </w:r>
          </w:p>
        </w:tc>
        <w:tc>
          <w:tcPr>
            <w:tcW w:w="63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CF62F1" w:rsidRPr="0097786C" w:rsidRDefault="00CF62F1" w:rsidP="007773DE">
            <w:pPr>
              <w:spacing w:after="0" w:line="256" w:lineRule="auto"/>
              <w:jc w:val="center"/>
              <w:rPr>
                <w:rFonts w:eastAsia="Calibri" w:cs="Officina Sans"/>
                <w:b/>
                <w:color w:val="000000"/>
                <w:sz w:val="20"/>
                <w:szCs w:val="20"/>
                <w:lang w:val="ka-GE"/>
              </w:rPr>
            </w:pPr>
            <w:r w:rsidRPr="0097786C">
              <w:rPr>
                <w:rFonts w:eastAsia="Calibri" w:cs="Officina Sans"/>
                <w:b/>
                <w:color w:val="000000"/>
                <w:sz w:val="20"/>
                <w:szCs w:val="20"/>
                <w:lang w:val="ka-GE"/>
              </w:rPr>
              <w:t>პასუხისმგებელი</w:t>
            </w:r>
          </w:p>
          <w:p w:rsidR="00CF62F1" w:rsidRPr="0097786C" w:rsidRDefault="00CF62F1" w:rsidP="007773DE">
            <w:pPr>
              <w:spacing w:after="0" w:line="256" w:lineRule="auto"/>
              <w:jc w:val="center"/>
              <w:rPr>
                <w:rFonts w:eastAsia="Calibri" w:cs="Officina Sans"/>
                <w:b/>
                <w:color w:val="000000"/>
                <w:sz w:val="20"/>
                <w:szCs w:val="20"/>
                <w:lang w:val="ka-GE"/>
              </w:rPr>
            </w:pPr>
            <w:r w:rsidRPr="0097786C">
              <w:rPr>
                <w:rFonts w:eastAsia="Calibri" w:cs="Officina Sans"/>
                <w:b/>
                <w:color w:val="000000"/>
                <w:sz w:val="20"/>
                <w:szCs w:val="20"/>
                <w:lang w:val="ka-GE"/>
              </w:rPr>
              <w:t xml:space="preserve"> პირი</w:t>
            </w:r>
          </w:p>
        </w:tc>
      </w:tr>
      <w:tr w:rsidR="00E963BB" w:rsidRPr="0097786C" w:rsidTr="007773DE">
        <w:trPr>
          <w:trHeight w:val="195"/>
          <w:jc w:val="center"/>
        </w:trPr>
        <w:tc>
          <w:tcPr>
            <w:tcW w:w="761"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spacing w:after="0" w:line="256" w:lineRule="auto"/>
              <w:ind w:left="-7"/>
              <w:jc w:val="center"/>
              <w:rPr>
                <w:rFonts w:eastAsia="Calibri" w:cs="Times New Roman"/>
                <w:color w:val="000000"/>
                <w:sz w:val="16"/>
                <w:szCs w:val="16"/>
                <w:lang w:val="ka-GE"/>
              </w:rPr>
            </w:pPr>
            <w:r w:rsidRPr="0097786C">
              <w:rPr>
                <w:rFonts w:eastAsia="Calibri" w:cs="Times New Roman"/>
                <w:color w:val="000000"/>
                <w:sz w:val="16"/>
                <w:szCs w:val="16"/>
                <w:lang w:val="ka-GE"/>
              </w:rPr>
              <w:t>1</w:t>
            </w:r>
          </w:p>
        </w:tc>
        <w:tc>
          <w:tcPr>
            <w:tcW w:w="731"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spacing w:after="0" w:line="256" w:lineRule="auto"/>
              <w:ind w:left="-7"/>
              <w:jc w:val="center"/>
              <w:rPr>
                <w:rFonts w:eastAsia="Calibri" w:cs="Times New Roman"/>
                <w:color w:val="000000"/>
                <w:sz w:val="16"/>
                <w:szCs w:val="16"/>
                <w:lang w:val="ka-GE"/>
              </w:rPr>
            </w:pPr>
            <w:r w:rsidRPr="0097786C">
              <w:rPr>
                <w:rFonts w:eastAsia="Calibri" w:cs="Times New Roman"/>
                <w:color w:val="000000"/>
                <w:sz w:val="16"/>
                <w:szCs w:val="16"/>
                <w:lang w:val="ka-GE"/>
              </w:rPr>
              <w:t>2</w:t>
            </w:r>
          </w:p>
        </w:tc>
        <w:tc>
          <w:tcPr>
            <w:tcW w:w="884"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spacing w:after="0" w:line="256" w:lineRule="auto"/>
              <w:ind w:left="-7"/>
              <w:jc w:val="center"/>
              <w:rPr>
                <w:rFonts w:eastAsia="Calibri" w:cs="Times New Roman"/>
                <w:color w:val="000000"/>
                <w:sz w:val="16"/>
                <w:szCs w:val="16"/>
                <w:lang w:val="ka-GE"/>
              </w:rPr>
            </w:pPr>
            <w:r w:rsidRPr="0097786C">
              <w:rPr>
                <w:rFonts w:eastAsia="Calibri" w:cs="Times New Roman"/>
                <w:color w:val="000000"/>
                <w:sz w:val="16"/>
                <w:szCs w:val="16"/>
                <w:lang w:val="ka-GE"/>
              </w:rPr>
              <w:t>3</w:t>
            </w:r>
          </w:p>
        </w:tc>
        <w:tc>
          <w:tcPr>
            <w:tcW w:w="771"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spacing w:after="0" w:line="256" w:lineRule="auto"/>
              <w:ind w:left="-7"/>
              <w:jc w:val="center"/>
              <w:rPr>
                <w:rFonts w:eastAsia="Calibri" w:cs="Times New Roman"/>
                <w:color w:val="000000"/>
                <w:sz w:val="16"/>
                <w:szCs w:val="16"/>
                <w:lang w:val="ka-GE"/>
              </w:rPr>
            </w:pPr>
            <w:r w:rsidRPr="0097786C">
              <w:rPr>
                <w:rFonts w:eastAsia="Calibri" w:cs="Times New Roman"/>
                <w:color w:val="000000"/>
                <w:sz w:val="16"/>
                <w:szCs w:val="16"/>
                <w:lang w:val="ka-GE"/>
              </w:rPr>
              <w:t>4</w:t>
            </w:r>
          </w:p>
        </w:tc>
        <w:tc>
          <w:tcPr>
            <w:tcW w:w="1218"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spacing w:after="0" w:line="256" w:lineRule="auto"/>
              <w:ind w:left="-7"/>
              <w:jc w:val="center"/>
              <w:rPr>
                <w:rFonts w:eastAsia="Calibri" w:cs="Times New Roman"/>
                <w:color w:val="000000"/>
                <w:sz w:val="16"/>
                <w:szCs w:val="16"/>
                <w:lang w:val="ka-GE"/>
              </w:rPr>
            </w:pPr>
            <w:r w:rsidRPr="0097786C">
              <w:rPr>
                <w:rFonts w:eastAsia="Calibri" w:cs="Times New Roman"/>
                <w:color w:val="000000"/>
                <w:sz w:val="16"/>
                <w:szCs w:val="16"/>
                <w:lang w:val="ka-GE"/>
              </w:rPr>
              <w:t>5</w:t>
            </w:r>
          </w:p>
        </w:tc>
        <w:tc>
          <w:tcPr>
            <w:tcW w:w="635"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spacing w:after="0" w:line="256" w:lineRule="auto"/>
              <w:ind w:left="-7"/>
              <w:jc w:val="center"/>
              <w:rPr>
                <w:rFonts w:eastAsia="Calibri" w:cs="Times New Roman"/>
                <w:color w:val="000000"/>
                <w:sz w:val="16"/>
                <w:szCs w:val="16"/>
                <w:lang w:val="ka-GE"/>
              </w:rPr>
            </w:pPr>
            <w:r w:rsidRPr="0097786C">
              <w:rPr>
                <w:rFonts w:eastAsia="Calibri" w:cs="Times New Roman"/>
                <w:color w:val="000000"/>
                <w:sz w:val="16"/>
                <w:szCs w:val="16"/>
                <w:lang w:val="ka-GE"/>
              </w:rPr>
              <w:t>6</w:t>
            </w:r>
          </w:p>
        </w:tc>
      </w:tr>
      <w:tr w:rsidR="00CF62F1" w:rsidRPr="0097786C" w:rsidTr="007773DE">
        <w:trPr>
          <w:trHeight w:val="256"/>
          <w:jc w:val="center"/>
        </w:trPr>
        <w:tc>
          <w:tcPr>
            <w:tcW w:w="5000" w:type="pct"/>
            <w:gridSpan w:val="6"/>
            <w:tcBorders>
              <w:top w:val="single" w:sz="4" w:space="0" w:color="auto"/>
              <w:left w:val="single" w:sz="4" w:space="0" w:color="auto"/>
              <w:bottom w:val="single" w:sz="4" w:space="0" w:color="auto"/>
              <w:right w:val="single" w:sz="4" w:space="0" w:color="auto"/>
            </w:tcBorders>
          </w:tcPr>
          <w:p w:rsidR="00CF62F1" w:rsidRPr="00CA628F" w:rsidRDefault="00CF62F1" w:rsidP="007773DE">
            <w:pPr>
              <w:spacing w:after="0" w:line="256" w:lineRule="auto"/>
              <w:ind w:left="-7"/>
              <w:rPr>
                <w:rFonts w:eastAsia="Calibri" w:cs="Times New Roman"/>
                <w:b/>
                <w:color w:val="000000"/>
                <w:sz w:val="16"/>
                <w:szCs w:val="16"/>
                <w:lang w:val="ka-GE"/>
              </w:rPr>
            </w:pPr>
            <w:r w:rsidRPr="00CA628F">
              <w:rPr>
                <w:b/>
                <w:sz w:val="20"/>
                <w:lang w:val="ka-GE"/>
              </w:rPr>
              <w:t>მშენებლობის ფაზისთვის</w:t>
            </w:r>
          </w:p>
        </w:tc>
      </w:tr>
      <w:tr w:rsidR="00E963BB" w:rsidRPr="0097786C" w:rsidTr="007773DE">
        <w:trPr>
          <w:trHeight w:val="495"/>
          <w:jc w:val="center"/>
        </w:trPr>
        <w:tc>
          <w:tcPr>
            <w:tcW w:w="761"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spacing w:after="0" w:line="256" w:lineRule="auto"/>
              <w:rPr>
                <w:rFonts w:eastAsia="Calibri" w:cs="Times New Roman"/>
                <w:sz w:val="20"/>
                <w:szCs w:val="20"/>
                <w:lang w:val="ka-GE"/>
              </w:rPr>
            </w:pPr>
            <w:r>
              <w:rPr>
                <w:rFonts w:eastAsia="Calibri" w:cs="Times New Roman"/>
                <w:sz w:val="20"/>
                <w:szCs w:val="20"/>
                <w:lang w:val="ka-GE"/>
              </w:rPr>
              <w:t xml:space="preserve">იქთიოფაუნა და მაკროუხერხემლოები  </w:t>
            </w:r>
            <w:r w:rsidRPr="0097786C">
              <w:rPr>
                <w:rFonts w:eastAsia="Calibri" w:cs="Times New Roman"/>
                <w:sz w:val="20"/>
                <w:szCs w:val="20"/>
                <w:lang w:val="ka-GE"/>
              </w:rPr>
              <w:t xml:space="preserve"> </w:t>
            </w:r>
          </w:p>
        </w:tc>
        <w:tc>
          <w:tcPr>
            <w:tcW w:w="731" w:type="pct"/>
            <w:tcBorders>
              <w:top w:val="single" w:sz="4" w:space="0" w:color="auto"/>
              <w:left w:val="single" w:sz="4" w:space="0" w:color="auto"/>
              <w:bottom w:val="single" w:sz="4" w:space="0" w:color="auto"/>
              <w:right w:val="single" w:sz="4" w:space="0" w:color="auto"/>
            </w:tcBorders>
            <w:hideMark/>
          </w:tcPr>
          <w:p w:rsidR="00CF62F1" w:rsidRDefault="00CF62F1" w:rsidP="007773DE">
            <w:pPr>
              <w:numPr>
                <w:ilvl w:val="0"/>
                <w:numId w:val="10"/>
              </w:numPr>
              <w:spacing w:after="0" w:line="256" w:lineRule="auto"/>
              <w:ind w:left="276" w:hanging="283"/>
              <w:rPr>
                <w:rFonts w:eastAsia="Calibri" w:cs="Times New Roman"/>
                <w:color w:val="000000"/>
                <w:sz w:val="20"/>
                <w:szCs w:val="20"/>
                <w:lang w:val="ka-GE"/>
              </w:rPr>
            </w:pPr>
            <w:r>
              <w:rPr>
                <w:rFonts w:eastAsia="Calibri" w:cs="Times New Roman"/>
                <w:color w:val="000000"/>
                <w:sz w:val="20"/>
                <w:szCs w:val="20"/>
                <w:lang w:val="ka-GE"/>
              </w:rPr>
              <w:t xml:space="preserve">პროექტის გავლენის ზონაში მოქცეული მდ. ნატანების მონაკვეთი და მისი ზედა და ქვედა დინებები </w:t>
            </w:r>
          </w:p>
          <w:p w:rsidR="00CF62F1" w:rsidRPr="0097786C" w:rsidRDefault="00CF62F1" w:rsidP="00CF62F1">
            <w:pPr>
              <w:spacing w:after="0" w:line="256" w:lineRule="auto"/>
              <w:ind w:left="276"/>
              <w:rPr>
                <w:rFonts w:eastAsia="Calibri" w:cs="Times New Roman"/>
                <w:color w:val="000000"/>
                <w:sz w:val="20"/>
                <w:szCs w:val="20"/>
                <w:lang w:val="ka-GE"/>
              </w:rPr>
            </w:pPr>
          </w:p>
        </w:tc>
        <w:tc>
          <w:tcPr>
            <w:tcW w:w="884" w:type="pct"/>
            <w:tcBorders>
              <w:top w:val="single" w:sz="4" w:space="0" w:color="auto"/>
              <w:left w:val="single" w:sz="4" w:space="0" w:color="auto"/>
              <w:bottom w:val="single" w:sz="4" w:space="0" w:color="auto"/>
              <w:right w:val="single" w:sz="4" w:space="0" w:color="auto"/>
            </w:tcBorders>
            <w:hideMark/>
          </w:tcPr>
          <w:p w:rsidR="00CF62F1" w:rsidRPr="0097786C" w:rsidRDefault="00CF62F1" w:rsidP="0044714D">
            <w:pPr>
              <w:numPr>
                <w:ilvl w:val="0"/>
                <w:numId w:val="10"/>
              </w:numPr>
              <w:spacing w:after="0" w:line="256" w:lineRule="auto"/>
              <w:ind w:left="276" w:hanging="283"/>
              <w:rPr>
                <w:rFonts w:eastAsia="Calibri" w:cs="Times New Roman"/>
                <w:sz w:val="20"/>
                <w:szCs w:val="20"/>
                <w:lang w:val="ka-GE"/>
              </w:rPr>
            </w:pPr>
            <w:r w:rsidRPr="0097786C">
              <w:rPr>
                <w:rFonts w:eastAsia="Calibri" w:cs="Times New Roman"/>
                <w:sz w:val="20"/>
                <w:szCs w:val="20"/>
                <w:lang w:val="ka-GE"/>
              </w:rPr>
              <w:t xml:space="preserve">შესაბამისი სპეციალისტის (იქთიოლოგი) მიერ </w:t>
            </w:r>
            <w:r w:rsidR="0044714D">
              <w:rPr>
                <w:rFonts w:eastAsia="Calibri" w:cs="Times New Roman"/>
                <w:sz w:val="20"/>
                <w:szCs w:val="20"/>
                <w:lang w:val="ka-GE"/>
              </w:rPr>
              <w:t xml:space="preserve">საველე </w:t>
            </w:r>
            <w:r w:rsidRPr="0097786C">
              <w:rPr>
                <w:rFonts w:eastAsia="Calibri" w:cs="Times New Roman"/>
                <w:sz w:val="20"/>
                <w:szCs w:val="20"/>
                <w:lang w:val="ka-GE"/>
              </w:rPr>
              <w:t>კვლევები</w:t>
            </w:r>
            <w:r w:rsidR="0044714D">
              <w:rPr>
                <w:rFonts w:eastAsia="Calibri" w:cs="Times New Roman"/>
                <w:sz w:val="20"/>
                <w:szCs w:val="20"/>
                <w:lang w:val="ka-GE"/>
              </w:rPr>
              <w:t>ს ჩატარება- თევზის სახეობრივი შემადგენლობის კვლევა, თევზის ბიომასის და თევზის საკვები ბაზის კვლევა</w:t>
            </w:r>
            <w:r w:rsidRPr="0097786C">
              <w:rPr>
                <w:rFonts w:eastAsia="Calibri" w:cs="Times New Roman"/>
                <w:sz w:val="20"/>
                <w:szCs w:val="20"/>
                <w:lang w:val="ka-GE"/>
              </w:rPr>
              <w:t>.</w:t>
            </w:r>
          </w:p>
        </w:tc>
        <w:tc>
          <w:tcPr>
            <w:tcW w:w="771"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numPr>
                <w:ilvl w:val="0"/>
                <w:numId w:val="10"/>
              </w:numPr>
              <w:spacing w:after="0" w:line="256" w:lineRule="auto"/>
              <w:ind w:left="276" w:hanging="283"/>
              <w:rPr>
                <w:rFonts w:eastAsia="Calibri" w:cs="Times New Roman"/>
                <w:sz w:val="20"/>
                <w:szCs w:val="20"/>
                <w:lang w:val="ka-GE"/>
              </w:rPr>
            </w:pPr>
            <w:r w:rsidRPr="0097786C">
              <w:rPr>
                <w:rFonts w:eastAsia="Calibri" w:cs="Times New Roman"/>
                <w:sz w:val="20"/>
                <w:szCs w:val="20"/>
                <w:lang w:val="ka-GE"/>
              </w:rPr>
              <w:t>მშენებლობის  განმავლობაში წელიწადში ორჯერ</w:t>
            </w:r>
          </w:p>
        </w:tc>
        <w:tc>
          <w:tcPr>
            <w:tcW w:w="1218"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numPr>
                <w:ilvl w:val="0"/>
                <w:numId w:val="10"/>
              </w:numPr>
              <w:spacing w:after="0" w:line="256" w:lineRule="auto"/>
              <w:ind w:left="276" w:hanging="283"/>
              <w:rPr>
                <w:rFonts w:eastAsia="Calibri" w:cs="Times New Roman"/>
                <w:sz w:val="20"/>
                <w:szCs w:val="20"/>
                <w:lang w:val="ka-GE"/>
              </w:rPr>
            </w:pPr>
            <w:r w:rsidRPr="0097786C">
              <w:rPr>
                <w:rFonts w:eastAsia="Calibri" w:cs="Times New Roman"/>
                <w:sz w:val="20"/>
                <w:szCs w:val="20"/>
                <w:lang w:val="ka-GE"/>
              </w:rPr>
              <w:t>მიმდინარე სამშენებლო სამუშაოებით იქთიოფაუნაზე ზემოქმედების შეფასება.  საჭიროების შემთხვევაში დამატებითი შემარბილებელი ღონისძიებების განსაზღვრა;</w:t>
            </w:r>
          </w:p>
          <w:p w:rsidR="00CF62F1" w:rsidRPr="0097786C" w:rsidRDefault="00CF62F1" w:rsidP="007773DE">
            <w:pPr>
              <w:numPr>
                <w:ilvl w:val="0"/>
                <w:numId w:val="10"/>
              </w:numPr>
              <w:spacing w:after="0" w:line="256" w:lineRule="auto"/>
              <w:ind w:left="276" w:hanging="283"/>
              <w:rPr>
                <w:rFonts w:eastAsia="Calibri" w:cs="Times New Roman"/>
                <w:sz w:val="20"/>
                <w:szCs w:val="20"/>
                <w:lang w:val="ka-GE"/>
              </w:rPr>
            </w:pPr>
            <w:r w:rsidRPr="0097786C">
              <w:rPr>
                <w:rFonts w:eastAsia="Calibri" w:cs="Times New Roman"/>
                <w:sz w:val="20"/>
                <w:szCs w:val="20"/>
                <w:lang w:val="ka-GE"/>
              </w:rPr>
              <w:t>განსაზღვრული შემარბილებელი ღონისძიებების ეფექტურობის შეფასება.</w:t>
            </w:r>
          </w:p>
        </w:tc>
        <w:tc>
          <w:tcPr>
            <w:tcW w:w="635" w:type="pct"/>
            <w:tcBorders>
              <w:top w:val="single" w:sz="4" w:space="0" w:color="auto"/>
              <w:left w:val="single" w:sz="4" w:space="0" w:color="auto"/>
              <w:bottom w:val="single" w:sz="4" w:space="0" w:color="auto"/>
              <w:right w:val="single" w:sz="4" w:space="0" w:color="auto"/>
            </w:tcBorders>
            <w:hideMark/>
          </w:tcPr>
          <w:p w:rsidR="00CF62F1" w:rsidRPr="0097786C" w:rsidRDefault="00CF62F1" w:rsidP="007773DE">
            <w:pPr>
              <w:spacing w:after="0" w:line="256" w:lineRule="auto"/>
              <w:jc w:val="both"/>
              <w:rPr>
                <w:rFonts w:eastAsia="Calibri" w:cs="Times New Roman"/>
                <w:color w:val="000000"/>
                <w:sz w:val="20"/>
                <w:szCs w:val="20"/>
                <w:lang w:val="ka-GE"/>
              </w:rPr>
            </w:pPr>
            <w:r w:rsidRPr="0051663C">
              <w:rPr>
                <w:rFonts w:eastAsia="Calibri" w:cs="Times New Roman"/>
                <w:color w:val="000000"/>
                <w:sz w:val="20"/>
                <w:szCs w:val="20"/>
                <w:lang w:val="ka-GE"/>
              </w:rPr>
              <w:t>შპს „უნივერსალ ენერჯი ქორფორეიშნ“</w:t>
            </w:r>
            <w:r w:rsidR="00903964">
              <w:rPr>
                <w:rFonts w:eastAsia="Calibri" w:cs="Times New Roman"/>
                <w:color w:val="000000"/>
                <w:sz w:val="20"/>
                <w:szCs w:val="20"/>
                <w:lang w:val="ka-GE"/>
              </w:rPr>
              <w:t xml:space="preserve"> და პერსპექტიული ჰესების ოპერატორი კომპანიები </w:t>
            </w:r>
          </w:p>
        </w:tc>
      </w:tr>
      <w:tr w:rsidR="00E963BB" w:rsidRPr="0097786C" w:rsidTr="007773DE">
        <w:trPr>
          <w:trHeight w:val="495"/>
          <w:jc w:val="center"/>
        </w:trPr>
        <w:tc>
          <w:tcPr>
            <w:tcW w:w="761" w:type="pct"/>
            <w:tcBorders>
              <w:top w:val="single" w:sz="4" w:space="0" w:color="auto"/>
              <w:left w:val="single" w:sz="4" w:space="0" w:color="auto"/>
              <w:bottom w:val="single" w:sz="4" w:space="0" w:color="auto"/>
              <w:right w:val="single" w:sz="4" w:space="0" w:color="auto"/>
            </w:tcBorders>
          </w:tcPr>
          <w:p w:rsidR="0044714D" w:rsidRDefault="0044714D" w:rsidP="0044714D">
            <w:pPr>
              <w:spacing w:after="0" w:line="256" w:lineRule="auto"/>
              <w:rPr>
                <w:rFonts w:eastAsia="Calibri" w:cs="Times New Roman"/>
                <w:sz w:val="20"/>
                <w:szCs w:val="20"/>
                <w:lang w:val="ka-GE"/>
              </w:rPr>
            </w:pPr>
            <w:r>
              <w:rPr>
                <w:rFonts w:eastAsia="Calibri" w:cs="Times New Roman"/>
                <w:sz w:val="20"/>
                <w:szCs w:val="20"/>
                <w:lang w:val="ka-GE"/>
              </w:rPr>
              <w:t>მდინარის წყლის ხარისხი</w:t>
            </w:r>
          </w:p>
        </w:tc>
        <w:tc>
          <w:tcPr>
            <w:tcW w:w="731" w:type="pct"/>
            <w:tcBorders>
              <w:top w:val="single" w:sz="4" w:space="0" w:color="auto"/>
              <w:left w:val="single" w:sz="4" w:space="0" w:color="auto"/>
              <w:bottom w:val="single" w:sz="4" w:space="0" w:color="auto"/>
              <w:right w:val="single" w:sz="4" w:space="0" w:color="auto"/>
            </w:tcBorders>
          </w:tcPr>
          <w:p w:rsidR="0044714D" w:rsidRDefault="0044714D" w:rsidP="007773DE">
            <w:pPr>
              <w:numPr>
                <w:ilvl w:val="0"/>
                <w:numId w:val="10"/>
              </w:numPr>
              <w:spacing w:after="0" w:line="256" w:lineRule="auto"/>
              <w:ind w:left="276" w:hanging="283"/>
              <w:rPr>
                <w:rFonts w:eastAsia="Calibri" w:cs="Times New Roman"/>
                <w:color w:val="000000"/>
                <w:sz w:val="20"/>
                <w:szCs w:val="20"/>
                <w:lang w:val="ka-GE"/>
              </w:rPr>
            </w:pPr>
            <w:r>
              <w:rPr>
                <w:rFonts w:eastAsia="Calibri" w:cs="Times New Roman"/>
                <w:color w:val="000000"/>
                <w:sz w:val="20"/>
                <w:szCs w:val="20"/>
                <w:lang w:val="ka-GE"/>
              </w:rPr>
              <w:t>მდინარის საპროექტო მონაკვეთი</w:t>
            </w:r>
          </w:p>
        </w:tc>
        <w:tc>
          <w:tcPr>
            <w:tcW w:w="884" w:type="pct"/>
            <w:tcBorders>
              <w:top w:val="single" w:sz="4" w:space="0" w:color="auto"/>
              <w:left w:val="single" w:sz="4" w:space="0" w:color="auto"/>
              <w:bottom w:val="single" w:sz="4" w:space="0" w:color="auto"/>
              <w:right w:val="single" w:sz="4" w:space="0" w:color="auto"/>
            </w:tcBorders>
          </w:tcPr>
          <w:p w:rsidR="0044714D" w:rsidRPr="0097786C" w:rsidRDefault="0044714D" w:rsidP="0044714D">
            <w:pPr>
              <w:numPr>
                <w:ilvl w:val="0"/>
                <w:numId w:val="10"/>
              </w:numPr>
              <w:spacing w:after="0" w:line="256" w:lineRule="auto"/>
              <w:ind w:left="276" w:hanging="283"/>
              <w:rPr>
                <w:rFonts w:eastAsia="Calibri" w:cs="Times New Roman"/>
                <w:sz w:val="20"/>
                <w:szCs w:val="20"/>
                <w:lang w:val="ka-GE"/>
              </w:rPr>
            </w:pPr>
            <w:r>
              <w:rPr>
                <w:rFonts w:eastAsia="Calibri" w:cs="Times New Roman"/>
                <w:sz w:val="20"/>
                <w:szCs w:val="20"/>
                <w:lang w:val="ka-GE"/>
              </w:rPr>
              <w:t xml:space="preserve">წყლის სინჯების ლაბორატორიული კვლევა, შეწონილი ნაწილაკების  და ნავთობის ნახშირწყალბადების შემცველობაზე, ასევე ჟბმ-ის და ჟქმ-ის კვლევა.  </w:t>
            </w:r>
          </w:p>
        </w:tc>
        <w:tc>
          <w:tcPr>
            <w:tcW w:w="771" w:type="pct"/>
            <w:tcBorders>
              <w:top w:val="single" w:sz="4" w:space="0" w:color="auto"/>
              <w:left w:val="single" w:sz="4" w:space="0" w:color="auto"/>
              <w:bottom w:val="single" w:sz="4" w:space="0" w:color="auto"/>
              <w:right w:val="single" w:sz="4" w:space="0" w:color="auto"/>
            </w:tcBorders>
          </w:tcPr>
          <w:p w:rsidR="0044714D" w:rsidRPr="0097786C" w:rsidRDefault="0044714D" w:rsidP="0044714D">
            <w:pPr>
              <w:numPr>
                <w:ilvl w:val="0"/>
                <w:numId w:val="10"/>
              </w:numPr>
              <w:spacing w:after="0" w:line="256" w:lineRule="auto"/>
              <w:ind w:left="276" w:hanging="283"/>
              <w:rPr>
                <w:rFonts w:eastAsia="Calibri" w:cs="Times New Roman"/>
                <w:sz w:val="20"/>
                <w:szCs w:val="20"/>
                <w:lang w:val="ka-GE"/>
              </w:rPr>
            </w:pPr>
            <w:r>
              <w:rPr>
                <w:rFonts w:eastAsia="Calibri" w:cs="Times New Roman"/>
                <w:sz w:val="20"/>
                <w:szCs w:val="20"/>
                <w:lang w:val="ka-GE"/>
              </w:rPr>
              <w:t xml:space="preserve">მშენებლობის პერიოდი კვარტალში ერთხელ </w:t>
            </w:r>
          </w:p>
        </w:tc>
        <w:tc>
          <w:tcPr>
            <w:tcW w:w="1218" w:type="pct"/>
            <w:tcBorders>
              <w:top w:val="single" w:sz="4" w:space="0" w:color="auto"/>
              <w:left w:val="single" w:sz="4" w:space="0" w:color="auto"/>
              <w:bottom w:val="single" w:sz="4" w:space="0" w:color="auto"/>
              <w:right w:val="single" w:sz="4" w:space="0" w:color="auto"/>
            </w:tcBorders>
          </w:tcPr>
          <w:p w:rsidR="0044714D" w:rsidRPr="0097786C" w:rsidRDefault="0044714D" w:rsidP="001A3ABC">
            <w:pPr>
              <w:numPr>
                <w:ilvl w:val="0"/>
                <w:numId w:val="10"/>
              </w:numPr>
              <w:spacing w:after="0" w:line="256" w:lineRule="auto"/>
              <w:ind w:left="276" w:hanging="283"/>
              <w:rPr>
                <w:rFonts w:eastAsia="Calibri" w:cs="Times New Roman"/>
                <w:sz w:val="20"/>
                <w:szCs w:val="20"/>
                <w:lang w:val="ka-GE"/>
              </w:rPr>
            </w:pPr>
            <w:r>
              <w:rPr>
                <w:rFonts w:eastAsia="Calibri" w:cs="Times New Roman"/>
                <w:sz w:val="20"/>
                <w:szCs w:val="20"/>
                <w:lang w:val="ka-GE"/>
              </w:rPr>
              <w:t xml:space="preserve">წყლის ხარისხის გაუარესებასთან დაკავშირებით, </w:t>
            </w:r>
            <w:r w:rsidR="001A3ABC">
              <w:rPr>
                <w:rFonts w:eastAsia="Calibri" w:cs="Times New Roman"/>
                <w:sz w:val="20"/>
                <w:szCs w:val="20"/>
                <w:lang w:val="ka-GE"/>
              </w:rPr>
              <w:t xml:space="preserve">წყლის ბიოლოგიურ გარემოზე ზემოქმედების რისკების მინიმუმამდე შემცირება.  </w:t>
            </w:r>
          </w:p>
        </w:tc>
        <w:tc>
          <w:tcPr>
            <w:tcW w:w="635" w:type="pct"/>
            <w:tcBorders>
              <w:top w:val="single" w:sz="4" w:space="0" w:color="auto"/>
              <w:left w:val="single" w:sz="4" w:space="0" w:color="auto"/>
              <w:bottom w:val="single" w:sz="4" w:space="0" w:color="auto"/>
              <w:right w:val="single" w:sz="4" w:space="0" w:color="auto"/>
            </w:tcBorders>
          </w:tcPr>
          <w:p w:rsidR="0044714D" w:rsidRPr="0051663C" w:rsidRDefault="001A3ABC" w:rsidP="007773DE">
            <w:pPr>
              <w:spacing w:after="0" w:line="256" w:lineRule="auto"/>
              <w:jc w:val="both"/>
              <w:rPr>
                <w:rFonts w:eastAsia="Calibri" w:cs="Times New Roman"/>
                <w:color w:val="000000"/>
                <w:sz w:val="20"/>
                <w:szCs w:val="20"/>
                <w:lang w:val="ka-GE"/>
              </w:rPr>
            </w:pPr>
            <w:r w:rsidRPr="00CA628F">
              <w:rPr>
                <w:rFonts w:eastAsia="Calibri" w:cs="Times New Roman"/>
                <w:color w:val="000000"/>
                <w:sz w:val="20"/>
                <w:szCs w:val="20"/>
                <w:lang w:val="ka-GE"/>
              </w:rPr>
              <w:t>„--------------“</w:t>
            </w:r>
          </w:p>
        </w:tc>
      </w:tr>
      <w:tr w:rsidR="00CF62F1" w:rsidRPr="0097786C" w:rsidTr="007773DE">
        <w:trPr>
          <w:trHeight w:val="17"/>
          <w:jc w:val="center"/>
        </w:trPr>
        <w:tc>
          <w:tcPr>
            <w:tcW w:w="5000" w:type="pct"/>
            <w:gridSpan w:val="6"/>
            <w:tcBorders>
              <w:top w:val="single" w:sz="4" w:space="0" w:color="auto"/>
              <w:left w:val="single" w:sz="4" w:space="0" w:color="auto"/>
              <w:bottom w:val="single" w:sz="4" w:space="0" w:color="auto"/>
              <w:right w:val="single" w:sz="4" w:space="0" w:color="auto"/>
            </w:tcBorders>
          </w:tcPr>
          <w:p w:rsidR="00CF62F1" w:rsidRPr="00CA628F" w:rsidRDefault="00CF62F1" w:rsidP="007773DE">
            <w:pPr>
              <w:spacing w:after="0" w:line="256" w:lineRule="auto"/>
              <w:jc w:val="both"/>
              <w:rPr>
                <w:rFonts w:eastAsia="Calibri" w:cs="Times New Roman"/>
                <w:b/>
                <w:color w:val="000000"/>
                <w:sz w:val="20"/>
                <w:szCs w:val="20"/>
                <w:lang w:val="ka-GE"/>
              </w:rPr>
            </w:pPr>
            <w:r w:rsidRPr="00CA628F">
              <w:rPr>
                <w:rFonts w:eastAsia="Calibri" w:cs="Times New Roman"/>
                <w:b/>
                <w:color w:val="000000"/>
                <w:sz w:val="20"/>
                <w:szCs w:val="20"/>
                <w:lang w:val="ka-GE"/>
              </w:rPr>
              <w:t>ექსპლუატაციის ფაზა</w:t>
            </w:r>
          </w:p>
        </w:tc>
      </w:tr>
      <w:tr w:rsidR="00E963BB" w:rsidRPr="0097786C" w:rsidTr="007773DE">
        <w:trPr>
          <w:trHeight w:val="495"/>
          <w:jc w:val="center"/>
        </w:trPr>
        <w:tc>
          <w:tcPr>
            <w:tcW w:w="761" w:type="pct"/>
            <w:tcBorders>
              <w:top w:val="single" w:sz="4" w:space="0" w:color="auto"/>
              <w:left w:val="single" w:sz="4" w:space="0" w:color="auto"/>
              <w:bottom w:val="single" w:sz="4" w:space="0" w:color="auto"/>
              <w:right w:val="single" w:sz="4" w:space="0" w:color="auto"/>
            </w:tcBorders>
          </w:tcPr>
          <w:p w:rsidR="00CF62F1" w:rsidRPr="00CA628F" w:rsidRDefault="00CF62F1" w:rsidP="007773DE">
            <w:pPr>
              <w:spacing w:after="0" w:line="256" w:lineRule="auto"/>
              <w:rPr>
                <w:rFonts w:eastAsia="Calibri" w:cs="Times New Roman"/>
                <w:color w:val="auto"/>
                <w:sz w:val="20"/>
                <w:szCs w:val="20"/>
                <w:lang w:val="ka-GE"/>
              </w:rPr>
            </w:pPr>
            <w:r w:rsidRPr="00CA628F">
              <w:rPr>
                <w:rFonts w:eastAsia="Calibri" w:cs="Times New Roman"/>
                <w:color w:val="auto"/>
                <w:sz w:val="20"/>
                <w:szCs w:val="20"/>
                <w:lang w:val="ka-GE"/>
              </w:rPr>
              <w:t>წყლის ბიომრავალფეროვნება</w:t>
            </w:r>
          </w:p>
        </w:tc>
        <w:tc>
          <w:tcPr>
            <w:tcW w:w="731" w:type="pct"/>
            <w:tcBorders>
              <w:top w:val="single" w:sz="4" w:space="0" w:color="auto"/>
              <w:left w:val="single" w:sz="4" w:space="0" w:color="auto"/>
              <w:bottom w:val="single" w:sz="4" w:space="0" w:color="auto"/>
              <w:right w:val="single" w:sz="4" w:space="0" w:color="auto"/>
            </w:tcBorders>
          </w:tcPr>
          <w:p w:rsidR="00CF62F1" w:rsidRPr="00CA628F" w:rsidRDefault="00CF62F1" w:rsidP="007773DE">
            <w:pPr>
              <w:numPr>
                <w:ilvl w:val="0"/>
                <w:numId w:val="10"/>
              </w:numPr>
              <w:spacing w:after="0" w:line="256" w:lineRule="auto"/>
              <w:ind w:left="276" w:hanging="283"/>
              <w:rPr>
                <w:rFonts w:eastAsia="Calibri" w:cs="Times New Roman"/>
                <w:color w:val="000000"/>
                <w:sz w:val="20"/>
                <w:szCs w:val="20"/>
                <w:lang w:val="ka-GE"/>
              </w:rPr>
            </w:pPr>
            <w:r w:rsidRPr="00CA628F">
              <w:rPr>
                <w:rFonts w:eastAsia="Calibri" w:cs="Times New Roman"/>
                <w:color w:val="000000"/>
                <w:sz w:val="20"/>
                <w:szCs w:val="20"/>
                <w:lang w:val="ka-GE"/>
              </w:rPr>
              <w:t xml:space="preserve">ზემოქმედების ფარგლებში მოყოლილი მონაკვეთი (განსაკუთრებით გზშ-ს ფარგლებში </w:t>
            </w:r>
            <w:r w:rsidRPr="00CA628F">
              <w:rPr>
                <w:rFonts w:eastAsia="Calibri" w:cs="Times New Roman"/>
                <w:color w:val="000000"/>
                <w:sz w:val="20"/>
                <w:szCs w:val="20"/>
                <w:lang w:val="ka-GE"/>
              </w:rPr>
              <w:lastRenderedPageBreak/>
              <w:t>აღწერილი სენსიტიური მონაკვეთები)</w:t>
            </w:r>
          </w:p>
        </w:tc>
        <w:tc>
          <w:tcPr>
            <w:tcW w:w="884" w:type="pct"/>
            <w:tcBorders>
              <w:top w:val="single" w:sz="4" w:space="0" w:color="auto"/>
              <w:left w:val="single" w:sz="4" w:space="0" w:color="auto"/>
              <w:bottom w:val="single" w:sz="4" w:space="0" w:color="auto"/>
              <w:right w:val="single" w:sz="4" w:space="0" w:color="auto"/>
            </w:tcBorders>
          </w:tcPr>
          <w:p w:rsidR="00CF62F1" w:rsidRPr="00CA628F" w:rsidRDefault="00CF62F1" w:rsidP="007773DE">
            <w:pPr>
              <w:numPr>
                <w:ilvl w:val="0"/>
                <w:numId w:val="10"/>
              </w:numPr>
              <w:spacing w:after="0" w:line="256" w:lineRule="auto"/>
              <w:ind w:left="276" w:hanging="283"/>
              <w:rPr>
                <w:rFonts w:eastAsia="Calibri" w:cs="Times New Roman"/>
                <w:color w:val="auto"/>
                <w:sz w:val="20"/>
                <w:szCs w:val="20"/>
                <w:lang w:val="ka-GE"/>
              </w:rPr>
            </w:pPr>
            <w:r w:rsidRPr="00CA628F">
              <w:rPr>
                <w:rFonts w:eastAsia="Calibri" w:cs="Times New Roman"/>
                <w:color w:val="auto"/>
                <w:sz w:val="20"/>
                <w:szCs w:val="20"/>
                <w:lang w:val="ka-GE"/>
              </w:rPr>
              <w:lastRenderedPageBreak/>
              <w:t xml:space="preserve">შესაბამისი სპეციალისტის (იქთიოლოგი) მიერ კვლევების ჩატარება და ანგარიშის საქართველოს გარემოს </w:t>
            </w:r>
            <w:r w:rsidRPr="00CA628F">
              <w:rPr>
                <w:rFonts w:eastAsia="Calibri" w:cs="Times New Roman"/>
                <w:color w:val="auto"/>
                <w:sz w:val="20"/>
                <w:szCs w:val="20"/>
                <w:lang w:val="ka-GE"/>
              </w:rPr>
              <w:lastRenderedPageBreak/>
              <w:t>დაცვისა და სოფლის მეურნეობის სამინისტროში წარდგენა.</w:t>
            </w:r>
          </w:p>
        </w:tc>
        <w:tc>
          <w:tcPr>
            <w:tcW w:w="771" w:type="pct"/>
            <w:tcBorders>
              <w:top w:val="single" w:sz="4" w:space="0" w:color="auto"/>
              <w:left w:val="single" w:sz="4" w:space="0" w:color="auto"/>
              <w:bottom w:val="single" w:sz="4" w:space="0" w:color="auto"/>
              <w:right w:val="single" w:sz="4" w:space="0" w:color="auto"/>
            </w:tcBorders>
          </w:tcPr>
          <w:p w:rsidR="00CF62F1" w:rsidRPr="00CA628F" w:rsidRDefault="00CF62F1" w:rsidP="007773DE">
            <w:pPr>
              <w:numPr>
                <w:ilvl w:val="0"/>
                <w:numId w:val="10"/>
              </w:numPr>
              <w:spacing w:after="0" w:line="256" w:lineRule="auto"/>
              <w:ind w:left="276" w:hanging="283"/>
              <w:rPr>
                <w:rFonts w:eastAsia="Calibri" w:cs="Times New Roman"/>
                <w:color w:val="auto"/>
                <w:sz w:val="20"/>
                <w:szCs w:val="20"/>
                <w:lang w:val="ka-GE"/>
              </w:rPr>
            </w:pPr>
            <w:r w:rsidRPr="00CA628F">
              <w:rPr>
                <w:rFonts w:eastAsia="Calibri" w:cs="Times New Roman"/>
                <w:color w:val="auto"/>
                <w:sz w:val="20"/>
                <w:szCs w:val="20"/>
                <w:lang w:val="ka-GE"/>
              </w:rPr>
              <w:lastRenderedPageBreak/>
              <w:t>ექსპლუატაციაში გაშვებიდან 2 წლის განმავლობაში, წელიწადში ორჯერ</w:t>
            </w:r>
          </w:p>
        </w:tc>
        <w:tc>
          <w:tcPr>
            <w:tcW w:w="1218" w:type="pct"/>
            <w:tcBorders>
              <w:top w:val="single" w:sz="4" w:space="0" w:color="auto"/>
              <w:left w:val="single" w:sz="4" w:space="0" w:color="auto"/>
              <w:bottom w:val="single" w:sz="4" w:space="0" w:color="auto"/>
              <w:right w:val="single" w:sz="4" w:space="0" w:color="auto"/>
            </w:tcBorders>
          </w:tcPr>
          <w:p w:rsidR="00CF62F1" w:rsidRPr="00CA628F" w:rsidRDefault="00CF62F1" w:rsidP="007773DE">
            <w:pPr>
              <w:numPr>
                <w:ilvl w:val="0"/>
                <w:numId w:val="10"/>
              </w:numPr>
              <w:spacing w:after="0" w:line="256" w:lineRule="auto"/>
              <w:ind w:left="276" w:hanging="283"/>
              <w:rPr>
                <w:rFonts w:eastAsia="Calibri" w:cs="Times New Roman"/>
                <w:color w:val="auto"/>
                <w:sz w:val="20"/>
                <w:szCs w:val="20"/>
                <w:lang w:val="ka-GE"/>
              </w:rPr>
            </w:pPr>
            <w:r w:rsidRPr="00CA628F">
              <w:rPr>
                <w:rFonts w:eastAsia="Calibri" w:cs="Times New Roman"/>
                <w:color w:val="auto"/>
                <w:sz w:val="20"/>
                <w:szCs w:val="20"/>
                <w:lang w:val="ka-GE"/>
              </w:rPr>
              <w:t>იქთიოფაუნისათვის მიყენებული ზარალის პროგნოზი და საჭიროების შემთხვევაში დამატებითი შემარბილებელი ღონისძიებების განსაზღვრა;</w:t>
            </w:r>
          </w:p>
          <w:p w:rsidR="00CF62F1" w:rsidRPr="00CA628F" w:rsidRDefault="00CF62F1" w:rsidP="007773DE">
            <w:pPr>
              <w:numPr>
                <w:ilvl w:val="0"/>
                <w:numId w:val="10"/>
              </w:numPr>
              <w:spacing w:after="0" w:line="256" w:lineRule="auto"/>
              <w:ind w:left="276" w:hanging="283"/>
              <w:rPr>
                <w:rFonts w:eastAsia="Calibri" w:cs="Times New Roman"/>
                <w:color w:val="auto"/>
                <w:sz w:val="20"/>
                <w:szCs w:val="20"/>
                <w:lang w:val="ka-GE"/>
              </w:rPr>
            </w:pPr>
            <w:r w:rsidRPr="00CA628F">
              <w:rPr>
                <w:rFonts w:eastAsia="Calibri" w:cs="Times New Roman"/>
                <w:color w:val="auto"/>
                <w:sz w:val="20"/>
                <w:szCs w:val="20"/>
                <w:lang w:val="ka-GE"/>
              </w:rPr>
              <w:lastRenderedPageBreak/>
              <w:t>განსაზღვრული შემარბილებელი ღონისძიებების ეფექტურობის შეფასება.</w:t>
            </w:r>
          </w:p>
        </w:tc>
        <w:tc>
          <w:tcPr>
            <w:tcW w:w="635" w:type="pct"/>
            <w:tcBorders>
              <w:top w:val="single" w:sz="4" w:space="0" w:color="auto"/>
              <w:left w:val="single" w:sz="4" w:space="0" w:color="auto"/>
              <w:bottom w:val="single" w:sz="4" w:space="0" w:color="auto"/>
              <w:right w:val="single" w:sz="4" w:space="0" w:color="auto"/>
            </w:tcBorders>
          </w:tcPr>
          <w:p w:rsidR="00CF62F1" w:rsidRPr="00CA628F" w:rsidRDefault="00CF62F1" w:rsidP="001A3ABC">
            <w:pPr>
              <w:spacing w:after="0" w:line="256" w:lineRule="auto"/>
              <w:ind w:left="276"/>
              <w:rPr>
                <w:rFonts w:eastAsia="Calibri" w:cs="Times New Roman"/>
                <w:color w:val="000000"/>
                <w:sz w:val="20"/>
                <w:szCs w:val="20"/>
                <w:lang w:val="ka-GE"/>
              </w:rPr>
            </w:pPr>
            <w:r w:rsidRPr="00CA628F">
              <w:rPr>
                <w:rFonts w:eastAsia="Calibri" w:cs="Times New Roman"/>
                <w:color w:val="000000"/>
                <w:sz w:val="20"/>
                <w:szCs w:val="20"/>
                <w:lang w:val="ka-GE"/>
              </w:rPr>
              <w:lastRenderedPageBreak/>
              <w:t>„--------------“</w:t>
            </w:r>
          </w:p>
        </w:tc>
      </w:tr>
      <w:tr w:rsidR="00E963BB" w:rsidRPr="0097786C" w:rsidTr="007773DE">
        <w:trPr>
          <w:trHeight w:val="495"/>
          <w:jc w:val="center"/>
        </w:trPr>
        <w:tc>
          <w:tcPr>
            <w:tcW w:w="761" w:type="pct"/>
            <w:tcBorders>
              <w:top w:val="single" w:sz="4" w:space="0" w:color="auto"/>
              <w:left w:val="single" w:sz="4" w:space="0" w:color="auto"/>
              <w:bottom w:val="single" w:sz="4" w:space="0" w:color="auto"/>
              <w:right w:val="single" w:sz="4" w:space="0" w:color="auto"/>
            </w:tcBorders>
          </w:tcPr>
          <w:p w:rsidR="00CF62F1" w:rsidRPr="00CA628F" w:rsidRDefault="00CF62F1" w:rsidP="001A3ABC">
            <w:pPr>
              <w:spacing w:after="0" w:line="256" w:lineRule="auto"/>
              <w:rPr>
                <w:rFonts w:eastAsia="Calibri" w:cs="Times New Roman"/>
                <w:color w:val="auto"/>
                <w:sz w:val="20"/>
                <w:szCs w:val="20"/>
                <w:lang w:val="ka-GE"/>
              </w:rPr>
            </w:pPr>
            <w:r w:rsidRPr="00CA628F">
              <w:rPr>
                <w:rFonts w:eastAsia="Calibri" w:cs="Times New Roman"/>
                <w:color w:val="auto"/>
                <w:sz w:val="20"/>
                <w:szCs w:val="20"/>
                <w:lang w:val="ka-GE"/>
              </w:rPr>
              <w:t>თევზსავალ</w:t>
            </w:r>
            <w:r>
              <w:rPr>
                <w:rFonts w:eastAsia="Calibri" w:cs="Times New Roman"/>
                <w:color w:val="auto"/>
                <w:sz w:val="20"/>
                <w:szCs w:val="20"/>
                <w:lang w:val="ka-GE"/>
              </w:rPr>
              <w:t xml:space="preserve">(ებ)ის </w:t>
            </w:r>
            <w:r w:rsidR="001A3ABC">
              <w:rPr>
                <w:rFonts w:eastAsia="Calibri" w:cs="Times New Roman"/>
                <w:color w:val="auto"/>
                <w:sz w:val="20"/>
                <w:szCs w:val="20"/>
                <w:lang w:val="ka-GE"/>
              </w:rPr>
              <w:t xml:space="preserve">და თევზარიდების </w:t>
            </w:r>
            <w:r w:rsidRPr="00CA628F">
              <w:rPr>
                <w:rFonts w:eastAsia="Calibri" w:cs="Times New Roman"/>
                <w:color w:val="auto"/>
                <w:sz w:val="20"/>
                <w:szCs w:val="20"/>
                <w:lang w:val="ka-GE"/>
              </w:rPr>
              <w:t>ტექნიკური გამართულობის და მუშაობის ეფექტურობა</w:t>
            </w:r>
            <w:r>
              <w:rPr>
                <w:rFonts w:eastAsia="Calibri" w:cs="Times New Roman"/>
                <w:color w:val="auto"/>
                <w:sz w:val="20"/>
                <w:szCs w:val="20"/>
                <w:lang w:val="ka-GE"/>
              </w:rPr>
              <w:t xml:space="preserve"> </w:t>
            </w:r>
          </w:p>
        </w:tc>
        <w:tc>
          <w:tcPr>
            <w:tcW w:w="731" w:type="pct"/>
            <w:tcBorders>
              <w:top w:val="single" w:sz="4" w:space="0" w:color="auto"/>
              <w:left w:val="single" w:sz="4" w:space="0" w:color="auto"/>
              <w:bottom w:val="single" w:sz="4" w:space="0" w:color="auto"/>
              <w:right w:val="single" w:sz="4" w:space="0" w:color="auto"/>
            </w:tcBorders>
          </w:tcPr>
          <w:p w:rsidR="00CF62F1" w:rsidRPr="00CA628F" w:rsidRDefault="001A3ABC" w:rsidP="001A3ABC">
            <w:pPr>
              <w:numPr>
                <w:ilvl w:val="0"/>
                <w:numId w:val="10"/>
              </w:numPr>
              <w:spacing w:after="0" w:line="256" w:lineRule="auto"/>
              <w:ind w:left="276" w:hanging="283"/>
              <w:rPr>
                <w:rFonts w:eastAsia="Calibri" w:cs="Times New Roman"/>
                <w:color w:val="000000"/>
                <w:sz w:val="20"/>
                <w:szCs w:val="20"/>
                <w:lang w:val="ka-GE"/>
              </w:rPr>
            </w:pPr>
            <w:r>
              <w:rPr>
                <w:rFonts w:eastAsia="Calibri" w:cs="Times New Roman"/>
                <w:color w:val="000000"/>
                <w:sz w:val="20"/>
                <w:szCs w:val="20"/>
                <w:lang w:val="ka-GE"/>
              </w:rPr>
              <w:t xml:space="preserve">ჰესების სათავე ნაგებობები </w:t>
            </w:r>
          </w:p>
        </w:tc>
        <w:tc>
          <w:tcPr>
            <w:tcW w:w="884" w:type="pct"/>
            <w:tcBorders>
              <w:top w:val="single" w:sz="4" w:space="0" w:color="auto"/>
              <w:left w:val="single" w:sz="4" w:space="0" w:color="auto"/>
              <w:bottom w:val="single" w:sz="4" w:space="0" w:color="auto"/>
              <w:right w:val="single" w:sz="4" w:space="0" w:color="auto"/>
            </w:tcBorders>
          </w:tcPr>
          <w:p w:rsidR="00CF62F1" w:rsidRPr="00CA628F" w:rsidRDefault="001A3ABC" w:rsidP="001A3ABC">
            <w:pPr>
              <w:numPr>
                <w:ilvl w:val="0"/>
                <w:numId w:val="10"/>
              </w:numPr>
              <w:spacing w:after="0" w:line="256" w:lineRule="auto"/>
              <w:ind w:left="276" w:hanging="283"/>
              <w:rPr>
                <w:rFonts w:eastAsia="Calibri" w:cs="Times New Roman"/>
                <w:color w:val="auto"/>
                <w:sz w:val="20"/>
                <w:szCs w:val="20"/>
                <w:lang w:val="ka-GE"/>
              </w:rPr>
            </w:pPr>
            <w:r>
              <w:rPr>
                <w:rFonts w:eastAsia="Calibri" w:cs="Times New Roman"/>
                <w:color w:val="auto"/>
                <w:sz w:val="20"/>
                <w:szCs w:val="20"/>
                <w:lang w:val="ka-GE"/>
              </w:rPr>
              <w:t xml:space="preserve">ტექნიკური მდგომარეობის </w:t>
            </w:r>
            <w:r w:rsidR="00CF62F1" w:rsidRPr="00CA628F">
              <w:rPr>
                <w:rFonts w:eastAsia="Calibri" w:cs="Times New Roman"/>
                <w:color w:val="auto"/>
                <w:sz w:val="20"/>
                <w:szCs w:val="20"/>
                <w:lang w:val="ka-GE"/>
              </w:rPr>
              <w:t>შემოწმება ინჟინერ</w:t>
            </w:r>
            <w:r w:rsidR="00CF62F1">
              <w:rPr>
                <w:rFonts w:eastAsia="Calibri" w:cs="Times New Roman"/>
                <w:color w:val="auto"/>
                <w:sz w:val="20"/>
                <w:szCs w:val="20"/>
                <w:lang w:val="ka-GE"/>
              </w:rPr>
              <w:t>-</w:t>
            </w:r>
            <w:r w:rsidR="00CF62F1" w:rsidRPr="00CA628F">
              <w:rPr>
                <w:rFonts w:eastAsia="Calibri" w:cs="Times New Roman"/>
                <w:color w:val="auto"/>
                <w:sz w:val="20"/>
                <w:szCs w:val="20"/>
                <w:lang w:val="ka-GE"/>
              </w:rPr>
              <w:t xml:space="preserve"> სპეციალისტის მიერ</w:t>
            </w:r>
            <w:r>
              <w:rPr>
                <w:rFonts w:eastAsia="Calibri" w:cs="Times New Roman"/>
                <w:color w:val="auto"/>
                <w:sz w:val="20"/>
                <w:szCs w:val="20"/>
                <w:lang w:val="ka-GE"/>
              </w:rPr>
              <w:t>, ხოლო პერიოდულად იქთიოლოგის მიერ</w:t>
            </w:r>
            <w:r w:rsidR="00CF62F1" w:rsidRPr="00CA628F">
              <w:rPr>
                <w:rFonts w:eastAsia="Calibri" w:cs="Times New Roman"/>
                <w:color w:val="auto"/>
                <w:sz w:val="20"/>
                <w:szCs w:val="20"/>
                <w:lang w:val="ka-GE"/>
              </w:rPr>
              <w:t>.</w:t>
            </w:r>
          </w:p>
        </w:tc>
        <w:tc>
          <w:tcPr>
            <w:tcW w:w="771" w:type="pct"/>
            <w:tcBorders>
              <w:top w:val="single" w:sz="4" w:space="0" w:color="auto"/>
              <w:left w:val="single" w:sz="4" w:space="0" w:color="auto"/>
              <w:bottom w:val="single" w:sz="4" w:space="0" w:color="auto"/>
              <w:right w:val="single" w:sz="4" w:space="0" w:color="auto"/>
            </w:tcBorders>
          </w:tcPr>
          <w:p w:rsidR="00CF62F1" w:rsidRPr="00CA628F" w:rsidRDefault="00903964" w:rsidP="007773DE">
            <w:pPr>
              <w:numPr>
                <w:ilvl w:val="0"/>
                <w:numId w:val="10"/>
              </w:numPr>
              <w:spacing w:after="0" w:line="256" w:lineRule="auto"/>
              <w:ind w:left="276" w:hanging="283"/>
              <w:rPr>
                <w:rFonts w:eastAsia="Calibri" w:cs="Times New Roman"/>
                <w:color w:val="auto"/>
                <w:sz w:val="20"/>
                <w:szCs w:val="20"/>
                <w:lang w:val="ka-GE"/>
              </w:rPr>
            </w:pPr>
            <w:r>
              <w:rPr>
                <w:rFonts w:eastAsia="Calibri" w:cs="Times New Roman"/>
                <w:color w:val="auto"/>
                <w:sz w:val="20"/>
                <w:szCs w:val="20"/>
                <w:lang w:val="ka-GE"/>
              </w:rPr>
              <w:t xml:space="preserve">ტექნიკური მდგომარეობის შემოწმება თვეში ერთხელ, ხოლო ვიზუალური დათვალიერება ყოველდღიურად </w:t>
            </w:r>
          </w:p>
        </w:tc>
        <w:tc>
          <w:tcPr>
            <w:tcW w:w="1218" w:type="pct"/>
            <w:tcBorders>
              <w:top w:val="single" w:sz="4" w:space="0" w:color="auto"/>
              <w:left w:val="single" w:sz="4" w:space="0" w:color="auto"/>
              <w:bottom w:val="single" w:sz="4" w:space="0" w:color="auto"/>
              <w:right w:val="single" w:sz="4" w:space="0" w:color="auto"/>
            </w:tcBorders>
          </w:tcPr>
          <w:p w:rsidR="00CF62F1" w:rsidRPr="00CA628F" w:rsidRDefault="00903964" w:rsidP="00903964">
            <w:pPr>
              <w:numPr>
                <w:ilvl w:val="0"/>
                <w:numId w:val="10"/>
              </w:numPr>
              <w:spacing w:after="0" w:line="256" w:lineRule="auto"/>
              <w:ind w:left="276" w:hanging="283"/>
              <w:rPr>
                <w:rFonts w:eastAsia="Calibri" w:cs="Times New Roman"/>
                <w:color w:val="auto"/>
                <w:sz w:val="20"/>
                <w:szCs w:val="20"/>
                <w:lang w:val="ka-GE"/>
              </w:rPr>
            </w:pPr>
            <w:r>
              <w:rPr>
                <w:rFonts w:eastAsia="Calibri" w:cs="Times New Roman"/>
                <w:color w:val="auto"/>
                <w:sz w:val="20"/>
                <w:szCs w:val="20"/>
                <w:lang w:val="ka-GE"/>
              </w:rPr>
              <w:t xml:space="preserve">თევზსავალის და თევზამრიდის ტექნიკური გამართულობის უზრუნველყოფა.  </w:t>
            </w:r>
          </w:p>
        </w:tc>
        <w:tc>
          <w:tcPr>
            <w:tcW w:w="635" w:type="pct"/>
            <w:tcBorders>
              <w:top w:val="single" w:sz="4" w:space="0" w:color="auto"/>
              <w:left w:val="single" w:sz="4" w:space="0" w:color="auto"/>
              <w:bottom w:val="single" w:sz="4" w:space="0" w:color="auto"/>
              <w:right w:val="single" w:sz="4" w:space="0" w:color="auto"/>
            </w:tcBorders>
          </w:tcPr>
          <w:p w:rsidR="00CF62F1" w:rsidRPr="00CA628F" w:rsidRDefault="00CF62F1" w:rsidP="001A3ABC">
            <w:pPr>
              <w:spacing w:after="0" w:line="256" w:lineRule="auto"/>
              <w:ind w:left="276"/>
              <w:rPr>
                <w:rFonts w:eastAsia="Calibri" w:cs="Times New Roman"/>
                <w:color w:val="auto"/>
                <w:sz w:val="20"/>
                <w:szCs w:val="20"/>
                <w:lang w:val="ka-GE"/>
              </w:rPr>
            </w:pPr>
            <w:r w:rsidRPr="00CA628F">
              <w:rPr>
                <w:rFonts w:eastAsia="Calibri" w:cs="Times New Roman"/>
                <w:color w:val="000000"/>
                <w:sz w:val="20"/>
                <w:szCs w:val="20"/>
                <w:lang w:val="ka-GE"/>
              </w:rPr>
              <w:t>„--------------“</w:t>
            </w:r>
          </w:p>
        </w:tc>
      </w:tr>
      <w:tr w:rsidR="001A3ABC" w:rsidRPr="0097786C" w:rsidTr="007773DE">
        <w:trPr>
          <w:trHeight w:val="495"/>
          <w:jc w:val="center"/>
        </w:trPr>
        <w:tc>
          <w:tcPr>
            <w:tcW w:w="761" w:type="pct"/>
            <w:tcBorders>
              <w:top w:val="single" w:sz="4" w:space="0" w:color="auto"/>
              <w:left w:val="single" w:sz="4" w:space="0" w:color="auto"/>
              <w:bottom w:val="single" w:sz="4" w:space="0" w:color="auto"/>
              <w:right w:val="single" w:sz="4" w:space="0" w:color="auto"/>
            </w:tcBorders>
          </w:tcPr>
          <w:p w:rsidR="001A3ABC" w:rsidRPr="00CA628F" w:rsidRDefault="00E963BB" w:rsidP="00E963BB">
            <w:pPr>
              <w:spacing w:after="0" w:line="256" w:lineRule="auto"/>
              <w:rPr>
                <w:rFonts w:eastAsia="Calibri" w:cs="Times New Roman"/>
                <w:color w:val="auto"/>
                <w:sz w:val="20"/>
                <w:szCs w:val="20"/>
                <w:lang w:val="ka-GE"/>
              </w:rPr>
            </w:pPr>
            <w:r>
              <w:rPr>
                <w:rFonts w:eastAsia="Calibri" w:cs="Times New Roman"/>
                <w:color w:val="auto"/>
                <w:sz w:val="20"/>
                <w:szCs w:val="20"/>
                <w:lang w:val="ka-GE"/>
              </w:rPr>
              <w:t xml:space="preserve">დინარის კალაპოტის გეომორფოლოგიური პირობები </w:t>
            </w:r>
          </w:p>
        </w:tc>
        <w:tc>
          <w:tcPr>
            <w:tcW w:w="731" w:type="pct"/>
            <w:tcBorders>
              <w:top w:val="single" w:sz="4" w:space="0" w:color="auto"/>
              <w:left w:val="single" w:sz="4" w:space="0" w:color="auto"/>
              <w:bottom w:val="single" w:sz="4" w:space="0" w:color="auto"/>
              <w:right w:val="single" w:sz="4" w:space="0" w:color="auto"/>
            </w:tcBorders>
          </w:tcPr>
          <w:p w:rsidR="001A3ABC" w:rsidRPr="00CA628F" w:rsidRDefault="00E963BB" w:rsidP="007773DE">
            <w:pPr>
              <w:numPr>
                <w:ilvl w:val="0"/>
                <w:numId w:val="10"/>
              </w:numPr>
              <w:spacing w:after="0" w:line="256" w:lineRule="auto"/>
              <w:ind w:left="276" w:hanging="283"/>
              <w:rPr>
                <w:rFonts w:eastAsia="Calibri" w:cs="Times New Roman"/>
                <w:color w:val="000000"/>
                <w:sz w:val="20"/>
                <w:szCs w:val="20"/>
                <w:lang w:val="ka-GE"/>
              </w:rPr>
            </w:pPr>
            <w:r>
              <w:rPr>
                <w:rFonts w:eastAsia="Calibri" w:cs="Times New Roman"/>
                <w:color w:val="000000"/>
                <w:sz w:val="20"/>
                <w:szCs w:val="20"/>
                <w:lang w:val="ka-GE"/>
              </w:rPr>
              <w:t>ჰესის გავლენის ზონაში მოქცეული მდინარის მონაკვეთი</w:t>
            </w:r>
          </w:p>
        </w:tc>
        <w:tc>
          <w:tcPr>
            <w:tcW w:w="884" w:type="pct"/>
            <w:tcBorders>
              <w:top w:val="single" w:sz="4" w:space="0" w:color="auto"/>
              <w:left w:val="single" w:sz="4" w:space="0" w:color="auto"/>
              <w:bottom w:val="single" w:sz="4" w:space="0" w:color="auto"/>
              <w:right w:val="single" w:sz="4" w:space="0" w:color="auto"/>
            </w:tcBorders>
          </w:tcPr>
          <w:p w:rsidR="001A3ABC" w:rsidRPr="00CA628F" w:rsidRDefault="00E963BB" w:rsidP="00E963BB">
            <w:pPr>
              <w:numPr>
                <w:ilvl w:val="0"/>
                <w:numId w:val="10"/>
              </w:numPr>
              <w:spacing w:after="0" w:line="256" w:lineRule="auto"/>
              <w:ind w:left="276" w:hanging="283"/>
              <w:rPr>
                <w:rFonts w:eastAsia="Calibri" w:cs="Times New Roman"/>
                <w:color w:val="auto"/>
                <w:sz w:val="20"/>
                <w:szCs w:val="20"/>
                <w:lang w:val="ka-GE"/>
              </w:rPr>
            </w:pPr>
            <w:r>
              <w:rPr>
                <w:rFonts w:eastAsia="Calibri" w:cs="Times New Roman"/>
                <w:color w:val="auto"/>
                <w:sz w:val="20"/>
                <w:szCs w:val="20"/>
                <w:lang w:val="ka-GE"/>
              </w:rPr>
              <w:t xml:space="preserve">კალაპოტის ვიზუალური დათვალიერება </w:t>
            </w:r>
          </w:p>
        </w:tc>
        <w:tc>
          <w:tcPr>
            <w:tcW w:w="771" w:type="pct"/>
            <w:tcBorders>
              <w:top w:val="single" w:sz="4" w:space="0" w:color="auto"/>
              <w:left w:val="single" w:sz="4" w:space="0" w:color="auto"/>
              <w:bottom w:val="single" w:sz="4" w:space="0" w:color="auto"/>
              <w:right w:val="single" w:sz="4" w:space="0" w:color="auto"/>
            </w:tcBorders>
          </w:tcPr>
          <w:p w:rsidR="001A3ABC" w:rsidRPr="00CA628F" w:rsidRDefault="00E963BB" w:rsidP="007773DE">
            <w:pPr>
              <w:numPr>
                <w:ilvl w:val="0"/>
                <w:numId w:val="10"/>
              </w:numPr>
              <w:spacing w:after="0" w:line="256" w:lineRule="auto"/>
              <w:ind w:left="276" w:hanging="283"/>
              <w:rPr>
                <w:rFonts w:eastAsia="Calibri" w:cs="Times New Roman"/>
                <w:color w:val="auto"/>
                <w:sz w:val="20"/>
                <w:szCs w:val="20"/>
                <w:lang w:val="ka-GE"/>
              </w:rPr>
            </w:pPr>
            <w:r>
              <w:rPr>
                <w:rFonts w:eastAsia="Calibri" w:cs="Times New Roman"/>
                <w:color w:val="auto"/>
                <w:sz w:val="20"/>
                <w:szCs w:val="20"/>
                <w:lang w:val="ka-GE"/>
              </w:rPr>
              <w:t>მდინარეში ყოველი წყალდიდობების ხარჯის გატარების შემდგომ</w:t>
            </w:r>
          </w:p>
        </w:tc>
        <w:tc>
          <w:tcPr>
            <w:tcW w:w="1218" w:type="pct"/>
            <w:tcBorders>
              <w:top w:val="single" w:sz="4" w:space="0" w:color="auto"/>
              <w:left w:val="single" w:sz="4" w:space="0" w:color="auto"/>
              <w:bottom w:val="single" w:sz="4" w:space="0" w:color="auto"/>
              <w:right w:val="single" w:sz="4" w:space="0" w:color="auto"/>
            </w:tcBorders>
          </w:tcPr>
          <w:p w:rsidR="001A3ABC" w:rsidRPr="00CA628F" w:rsidRDefault="00E963BB" w:rsidP="00E963BB">
            <w:pPr>
              <w:numPr>
                <w:ilvl w:val="0"/>
                <w:numId w:val="10"/>
              </w:numPr>
              <w:spacing w:after="0" w:line="256" w:lineRule="auto"/>
              <w:ind w:left="276" w:hanging="283"/>
              <w:rPr>
                <w:rFonts w:eastAsia="Calibri" w:cs="Times New Roman"/>
                <w:color w:val="auto"/>
                <w:sz w:val="20"/>
                <w:szCs w:val="20"/>
                <w:lang w:val="ka-GE"/>
              </w:rPr>
            </w:pPr>
            <w:r>
              <w:rPr>
                <w:rFonts w:eastAsia="Calibri" w:cs="Times New Roman"/>
                <w:color w:val="auto"/>
                <w:sz w:val="20"/>
                <w:szCs w:val="20"/>
                <w:lang w:val="ka-GE"/>
              </w:rPr>
              <w:t>საჭიროების შემთხვევაში მდინარის კალაპოტის კორექტირება ერთარხიანი დინების უზრუნველყოფის მიზნით</w:t>
            </w:r>
          </w:p>
        </w:tc>
        <w:tc>
          <w:tcPr>
            <w:tcW w:w="635" w:type="pct"/>
            <w:tcBorders>
              <w:top w:val="single" w:sz="4" w:space="0" w:color="auto"/>
              <w:left w:val="single" w:sz="4" w:space="0" w:color="auto"/>
              <w:bottom w:val="single" w:sz="4" w:space="0" w:color="auto"/>
              <w:right w:val="single" w:sz="4" w:space="0" w:color="auto"/>
            </w:tcBorders>
          </w:tcPr>
          <w:p w:rsidR="001A3ABC" w:rsidRPr="00CA628F" w:rsidRDefault="00E963BB" w:rsidP="001A3ABC">
            <w:pPr>
              <w:spacing w:after="0" w:line="256" w:lineRule="auto"/>
              <w:ind w:left="276"/>
              <w:rPr>
                <w:rFonts w:eastAsia="Calibri" w:cs="Times New Roman"/>
                <w:color w:val="000000"/>
                <w:sz w:val="20"/>
                <w:szCs w:val="20"/>
                <w:lang w:val="ka-GE"/>
              </w:rPr>
            </w:pPr>
            <w:r w:rsidRPr="00CA628F">
              <w:rPr>
                <w:rFonts w:eastAsia="Calibri" w:cs="Times New Roman"/>
                <w:color w:val="000000"/>
                <w:sz w:val="20"/>
                <w:szCs w:val="20"/>
                <w:lang w:val="ka-GE"/>
              </w:rPr>
              <w:t>„--------------“</w:t>
            </w:r>
          </w:p>
        </w:tc>
      </w:tr>
    </w:tbl>
    <w:p w:rsidR="00CF62F1" w:rsidRDefault="00CF62F1" w:rsidP="00500232">
      <w:pPr>
        <w:jc w:val="both"/>
        <w:rPr>
          <w:lang w:val="ka-GE"/>
        </w:rPr>
      </w:pPr>
    </w:p>
    <w:p w:rsidR="00CF62F1" w:rsidRDefault="00CF62F1" w:rsidP="00500232">
      <w:pPr>
        <w:jc w:val="both"/>
        <w:rPr>
          <w:lang w:val="ka-GE"/>
        </w:rPr>
      </w:pPr>
    </w:p>
    <w:sectPr w:rsidR="00CF62F1" w:rsidSect="0051663C">
      <w:pgSz w:w="16834" w:h="11909" w:orient="landscape" w:code="9"/>
      <w:pgMar w:top="1138" w:right="1138" w:bottom="1138" w:left="113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0EA" w:rsidRDefault="007110EA" w:rsidP="00CF62F1">
      <w:pPr>
        <w:spacing w:after="0" w:line="240" w:lineRule="auto"/>
      </w:pPr>
      <w:r>
        <w:separator/>
      </w:r>
    </w:p>
  </w:endnote>
  <w:endnote w:type="continuationSeparator" w:id="0">
    <w:p w:rsidR="007110EA" w:rsidRDefault="007110EA" w:rsidP="00CF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fficina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31483"/>
      <w:docPartObj>
        <w:docPartGallery w:val="Page Numbers (Bottom of Page)"/>
        <w:docPartUnique/>
      </w:docPartObj>
    </w:sdtPr>
    <w:sdtEndPr>
      <w:rPr>
        <w:noProof/>
      </w:rPr>
    </w:sdtEndPr>
    <w:sdtContent>
      <w:p w:rsidR="00CF62F1" w:rsidRDefault="00CF62F1">
        <w:pPr>
          <w:pStyle w:val="Footer"/>
          <w:jc w:val="right"/>
        </w:pPr>
        <w:r>
          <w:fldChar w:fldCharType="begin"/>
        </w:r>
        <w:r>
          <w:instrText xml:space="preserve"> PAGE   \* MERGEFORMAT </w:instrText>
        </w:r>
        <w:r>
          <w:fldChar w:fldCharType="separate"/>
        </w:r>
        <w:r w:rsidR="00D93D15">
          <w:rPr>
            <w:noProof/>
          </w:rPr>
          <w:t>5</w:t>
        </w:r>
        <w:r>
          <w:rPr>
            <w:noProof/>
          </w:rPr>
          <w:fldChar w:fldCharType="end"/>
        </w:r>
      </w:p>
    </w:sdtContent>
  </w:sdt>
  <w:p w:rsidR="00CF62F1" w:rsidRDefault="00CF6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0EA" w:rsidRDefault="007110EA" w:rsidP="00CF62F1">
      <w:pPr>
        <w:spacing w:after="0" w:line="240" w:lineRule="auto"/>
      </w:pPr>
      <w:r>
        <w:separator/>
      </w:r>
    </w:p>
  </w:footnote>
  <w:footnote w:type="continuationSeparator" w:id="0">
    <w:p w:rsidR="007110EA" w:rsidRDefault="007110EA" w:rsidP="00CF6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5248"/>
    <w:multiLevelType w:val="hybridMultilevel"/>
    <w:tmpl w:val="B6103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95D4C"/>
    <w:multiLevelType w:val="hybridMultilevel"/>
    <w:tmpl w:val="CBB211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62A9B"/>
    <w:multiLevelType w:val="hybridMultilevel"/>
    <w:tmpl w:val="5B1E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962B1"/>
    <w:multiLevelType w:val="hybridMultilevel"/>
    <w:tmpl w:val="6B68F696"/>
    <w:lvl w:ilvl="0" w:tplc="898E8076">
      <w:start w:val="1"/>
      <w:numFmt w:val="bullet"/>
      <w:lvlText w:val=""/>
      <w:lvlJc w:val="left"/>
      <w:pPr>
        <w:ind w:left="720" w:hanging="72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4" w15:restartNumberingAfterBreak="0">
    <w:nsid w:val="593F0C1B"/>
    <w:multiLevelType w:val="multilevel"/>
    <w:tmpl w:val="50F8C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0112ED6"/>
    <w:multiLevelType w:val="hybridMultilevel"/>
    <w:tmpl w:val="85A6D78A"/>
    <w:lvl w:ilvl="0" w:tplc="74E62A0A">
      <w:start w:val="1"/>
      <w:numFmt w:val="bullet"/>
      <w:lvlText w:val=""/>
      <w:lvlJc w:val="left"/>
      <w:pPr>
        <w:tabs>
          <w:tab w:val="num" w:pos="720"/>
        </w:tabs>
        <w:ind w:left="720" w:hanging="360"/>
      </w:pPr>
      <w:rPr>
        <w:rFonts w:ascii="Symbol" w:hAnsi="Symbol" w:hint="default"/>
      </w:rPr>
    </w:lvl>
    <w:lvl w:ilvl="1" w:tplc="2C4228F8">
      <w:start w:val="1"/>
      <w:numFmt w:val="bullet"/>
      <w:lvlText w:val="o"/>
      <w:lvlJc w:val="left"/>
      <w:pPr>
        <w:tabs>
          <w:tab w:val="num" w:pos="1440"/>
        </w:tabs>
        <w:ind w:left="1440" w:hanging="360"/>
      </w:pPr>
      <w:rPr>
        <w:rFonts w:ascii="Courier New" w:hAnsi="Courier New" w:cs="Times New Roman" w:hint="default"/>
      </w:rPr>
    </w:lvl>
    <w:lvl w:ilvl="2" w:tplc="30CC4D26">
      <w:start w:val="1"/>
      <w:numFmt w:val="bullet"/>
      <w:lvlText w:val=""/>
      <w:lvlJc w:val="left"/>
      <w:pPr>
        <w:tabs>
          <w:tab w:val="num" w:pos="2160"/>
        </w:tabs>
        <w:ind w:left="2160" w:hanging="360"/>
      </w:pPr>
      <w:rPr>
        <w:rFonts w:ascii="Wingdings" w:hAnsi="Wingdings" w:hint="default"/>
      </w:rPr>
    </w:lvl>
    <w:lvl w:ilvl="3" w:tplc="218693DC">
      <w:start w:val="1"/>
      <w:numFmt w:val="bullet"/>
      <w:lvlText w:val=""/>
      <w:lvlJc w:val="left"/>
      <w:pPr>
        <w:tabs>
          <w:tab w:val="num" w:pos="2880"/>
        </w:tabs>
        <w:ind w:left="2880" w:hanging="360"/>
      </w:pPr>
      <w:rPr>
        <w:rFonts w:ascii="Symbol" w:hAnsi="Symbol" w:hint="default"/>
      </w:rPr>
    </w:lvl>
    <w:lvl w:ilvl="4" w:tplc="FA36AD30">
      <w:start w:val="1"/>
      <w:numFmt w:val="bullet"/>
      <w:lvlText w:val="o"/>
      <w:lvlJc w:val="left"/>
      <w:pPr>
        <w:tabs>
          <w:tab w:val="num" w:pos="3600"/>
        </w:tabs>
        <w:ind w:left="3600" w:hanging="360"/>
      </w:pPr>
      <w:rPr>
        <w:rFonts w:ascii="Courier New" w:hAnsi="Courier New" w:cs="Times New Roman" w:hint="default"/>
      </w:rPr>
    </w:lvl>
    <w:lvl w:ilvl="5" w:tplc="9DAC6140">
      <w:start w:val="1"/>
      <w:numFmt w:val="bullet"/>
      <w:lvlText w:val=""/>
      <w:lvlJc w:val="left"/>
      <w:pPr>
        <w:tabs>
          <w:tab w:val="num" w:pos="4320"/>
        </w:tabs>
        <w:ind w:left="4320" w:hanging="360"/>
      </w:pPr>
      <w:rPr>
        <w:rFonts w:ascii="Wingdings" w:hAnsi="Wingdings" w:hint="default"/>
      </w:rPr>
    </w:lvl>
    <w:lvl w:ilvl="6" w:tplc="2DB02F78">
      <w:start w:val="1"/>
      <w:numFmt w:val="bullet"/>
      <w:lvlText w:val=""/>
      <w:lvlJc w:val="left"/>
      <w:pPr>
        <w:tabs>
          <w:tab w:val="num" w:pos="5040"/>
        </w:tabs>
        <w:ind w:left="5040" w:hanging="360"/>
      </w:pPr>
      <w:rPr>
        <w:rFonts w:ascii="Symbol" w:hAnsi="Symbol" w:hint="default"/>
      </w:rPr>
    </w:lvl>
    <w:lvl w:ilvl="7" w:tplc="7D34B196">
      <w:start w:val="1"/>
      <w:numFmt w:val="bullet"/>
      <w:lvlText w:val="o"/>
      <w:lvlJc w:val="left"/>
      <w:pPr>
        <w:tabs>
          <w:tab w:val="num" w:pos="5760"/>
        </w:tabs>
        <w:ind w:left="5760" w:hanging="360"/>
      </w:pPr>
      <w:rPr>
        <w:rFonts w:ascii="Courier New" w:hAnsi="Courier New" w:cs="Times New Roman" w:hint="default"/>
      </w:rPr>
    </w:lvl>
    <w:lvl w:ilvl="8" w:tplc="40F6894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F14CB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B241F4A"/>
    <w:multiLevelType w:val="hybridMultilevel"/>
    <w:tmpl w:val="1CEE3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B969D7"/>
    <w:multiLevelType w:val="multilevel"/>
    <w:tmpl w:val="B7222FC6"/>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Heading3"/>
      <w:lvlText w:val="%1.%2.%3"/>
      <w:lvlJc w:val="left"/>
      <w:pPr>
        <w:ind w:left="720" w:hanging="720"/>
      </w:pPr>
    </w:lvl>
    <w:lvl w:ilvl="3">
      <w:start w:val="1"/>
      <w:numFmt w:val="decimal"/>
      <w:lvlText w:val="%1.%2.%3.%4"/>
      <w:lvlJc w:val="left"/>
      <w:pPr>
        <w:ind w:left="864" w:hanging="864"/>
      </w:pPr>
      <w:rPr>
        <w:color w:val="000000" w:themeColor="text1"/>
      </w:rPr>
    </w:lvl>
    <w:lvl w:ilvl="4">
      <w:start w:val="1"/>
      <w:numFmt w:val="decimal"/>
      <w:lvlText w:val="%1.%2.%3.%4.%5"/>
      <w:lvlJc w:val="left"/>
      <w:pPr>
        <w:ind w:left="1008" w:hanging="1008"/>
      </w:pPr>
      <w:rPr>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8F04FB5"/>
    <w:multiLevelType w:val="hybridMultilevel"/>
    <w:tmpl w:val="36E4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D2BBC"/>
    <w:multiLevelType w:val="hybridMultilevel"/>
    <w:tmpl w:val="163E8C90"/>
    <w:lvl w:ilvl="0" w:tplc="44F874D4">
      <w:start w:val="1"/>
      <w:numFmt w:val="bullet"/>
      <w:lvlText w:val=""/>
      <w:lvlJc w:val="left"/>
      <w:pPr>
        <w:ind w:left="720" w:hanging="360"/>
      </w:pPr>
      <w:rPr>
        <w:rFonts w:ascii="Symbol" w:hAnsi="Symbol" w:hint="default"/>
      </w:rPr>
    </w:lvl>
    <w:lvl w:ilvl="1" w:tplc="87C2A3F4">
      <w:start w:val="1"/>
      <w:numFmt w:val="bullet"/>
      <w:lvlText w:val="o"/>
      <w:lvlJc w:val="left"/>
      <w:pPr>
        <w:ind w:left="1440" w:hanging="360"/>
      </w:pPr>
      <w:rPr>
        <w:rFonts w:ascii="Courier New" w:hAnsi="Courier New" w:cs="Courier New" w:hint="default"/>
      </w:rPr>
    </w:lvl>
    <w:lvl w:ilvl="2" w:tplc="76728814">
      <w:start w:val="1"/>
      <w:numFmt w:val="bullet"/>
      <w:lvlText w:val=""/>
      <w:lvlJc w:val="left"/>
      <w:pPr>
        <w:ind w:left="2160" w:hanging="360"/>
      </w:pPr>
      <w:rPr>
        <w:rFonts w:ascii="Wingdings" w:hAnsi="Wingdings" w:hint="default"/>
      </w:rPr>
    </w:lvl>
    <w:lvl w:ilvl="3" w:tplc="058AFDE2">
      <w:start w:val="1"/>
      <w:numFmt w:val="bullet"/>
      <w:lvlText w:val=""/>
      <w:lvlJc w:val="left"/>
      <w:pPr>
        <w:ind w:left="2880" w:hanging="360"/>
      </w:pPr>
      <w:rPr>
        <w:rFonts w:ascii="Symbol" w:hAnsi="Symbol" w:hint="default"/>
      </w:rPr>
    </w:lvl>
    <w:lvl w:ilvl="4" w:tplc="87D2201E">
      <w:start w:val="1"/>
      <w:numFmt w:val="bullet"/>
      <w:lvlText w:val="o"/>
      <w:lvlJc w:val="left"/>
      <w:pPr>
        <w:ind w:left="3600" w:hanging="360"/>
      </w:pPr>
      <w:rPr>
        <w:rFonts w:ascii="Courier New" w:hAnsi="Courier New" w:cs="Courier New" w:hint="default"/>
      </w:rPr>
    </w:lvl>
    <w:lvl w:ilvl="5" w:tplc="A614CA70">
      <w:start w:val="1"/>
      <w:numFmt w:val="bullet"/>
      <w:lvlText w:val=""/>
      <w:lvlJc w:val="left"/>
      <w:pPr>
        <w:ind w:left="4320" w:hanging="360"/>
      </w:pPr>
      <w:rPr>
        <w:rFonts w:ascii="Wingdings" w:hAnsi="Wingdings" w:hint="default"/>
      </w:rPr>
    </w:lvl>
    <w:lvl w:ilvl="6" w:tplc="D4987E3C">
      <w:start w:val="1"/>
      <w:numFmt w:val="bullet"/>
      <w:lvlText w:val=""/>
      <w:lvlJc w:val="left"/>
      <w:pPr>
        <w:ind w:left="5040" w:hanging="360"/>
      </w:pPr>
      <w:rPr>
        <w:rFonts w:ascii="Symbol" w:hAnsi="Symbol" w:hint="default"/>
      </w:rPr>
    </w:lvl>
    <w:lvl w:ilvl="7" w:tplc="468E2156">
      <w:start w:val="1"/>
      <w:numFmt w:val="bullet"/>
      <w:lvlText w:val="o"/>
      <w:lvlJc w:val="left"/>
      <w:pPr>
        <w:ind w:left="5760" w:hanging="360"/>
      </w:pPr>
      <w:rPr>
        <w:rFonts w:ascii="Courier New" w:hAnsi="Courier New" w:cs="Courier New" w:hint="default"/>
      </w:rPr>
    </w:lvl>
    <w:lvl w:ilvl="8" w:tplc="2E80738E">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6"/>
  </w:num>
  <w:num w:numId="7">
    <w:abstractNumId w:val="2"/>
  </w:num>
  <w:num w:numId="8">
    <w:abstractNumId w:val="1"/>
  </w:num>
  <w:num w:numId="9">
    <w:abstractNumId w:val="0"/>
  </w:num>
  <w:num w:numId="10">
    <w:abstractNumId w:val="5"/>
  </w:num>
  <w:num w:numId="11">
    <w:abstractNumId w:val="9"/>
  </w:num>
  <w:num w:numId="12">
    <w:abstractNumId w:val="7"/>
  </w:num>
  <w:num w:numId="13">
    <w:abstractNumId w:val="1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91"/>
    <w:rsid w:val="00012682"/>
    <w:rsid w:val="00070D89"/>
    <w:rsid w:val="000865D1"/>
    <w:rsid w:val="001A3ABC"/>
    <w:rsid w:val="003266AE"/>
    <w:rsid w:val="00441DBC"/>
    <w:rsid w:val="0044714D"/>
    <w:rsid w:val="0045491A"/>
    <w:rsid w:val="00464F3F"/>
    <w:rsid w:val="00471B61"/>
    <w:rsid w:val="00500232"/>
    <w:rsid w:val="0051663C"/>
    <w:rsid w:val="0067159E"/>
    <w:rsid w:val="006D4338"/>
    <w:rsid w:val="007110EA"/>
    <w:rsid w:val="007539E7"/>
    <w:rsid w:val="00775BC3"/>
    <w:rsid w:val="007B6009"/>
    <w:rsid w:val="00810D67"/>
    <w:rsid w:val="00874B76"/>
    <w:rsid w:val="008779B5"/>
    <w:rsid w:val="00896409"/>
    <w:rsid w:val="00903964"/>
    <w:rsid w:val="00905161"/>
    <w:rsid w:val="00AB5791"/>
    <w:rsid w:val="00B5450A"/>
    <w:rsid w:val="00B74272"/>
    <w:rsid w:val="00C36EC3"/>
    <w:rsid w:val="00C41198"/>
    <w:rsid w:val="00CA628F"/>
    <w:rsid w:val="00CF62F1"/>
    <w:rsid w:val="00D14411"/>
    <w:rsid w:val="00D82565"/>
    <w:rsid w:val="00D93D15"/>
    <w:rsid w:val="00E3531D"/>
    <w:rsid w:val="00E963BB"/>
    <w:rsid w:val="00F328F8"/>
    <w:rsid w:val="00F4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0CD96-04E4-4D3D-B437-6EC36938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ajorBidi"/>
        <w:color w:val="000000" w:themeColor="text1"/>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10D67"/>
    <w:pPr>
      <w:keepNext/>
      <w:keepLines/>
      <w:numPr>
        <w:numId w:val="6"/>
      </w:numPr>
      <w:spacing w:before="120" w:after="120" w:line="240" w:lineRule="auto"/>
      <w:jc w:val="both"/>
      <w:outlineLvl w:val="0"/>
    </w:pPr>
    <w:rPr>
      <w:rFonts w:eastAsiaTheme="majorEastAsia"/>
      <w:b/>
      <w:lang w:val="ka-GE"/>
    </w:rPr>
  </w:style>
  <w:style w:type="paragraph" w:styleId="Heading2">
    <w:name w:val="heading 2"/>
    <w:basedOn w:val="Normal"/>
    <w:next w:val="Normal"/>
    <w:link w:val="Heading2Char"/>
    <w:autoRedefine/>
    <w:unhideWhenUsed/>
    <w:qFormat/>
    <w:rsid w:val="00810D67"/>
    <w:pPr>
      <w:keepNext/>
      <w:keepLines/>
      <w:numPr>
        <w:ilvl w:val="1"/>
        <w:numId w:val="6"/>
      </w:numPr>
      <w:spacing w:before="120" w:after="120" w:line="240" w:lineRule="auto"/>
      <w:jc w:val="both"/>
      <w:outlineLvl w:val="1"/>
    </w:pPr>
    <w:rPr>
      <w:rFonts w:eastAsiaTheme="majorEastAsia"/>
      <w:b/>
      <w:szCs w:val="26"/>
      <w:lang w:val="ka-GE"/>
    </w:rPr>
  </w:style>
  <w:style w:type="paragraph" w:styleId="Heading3">
    <w:name w:val="heading 3"/>
    <w:basedOn w:val="Normal"/>
    <w:next w:val="Normal"/>
    <w:link w:val="Heading3Char"/>
    <w:autoRedefine/>
    <w:uiPriority w:val="9"/>
    <w:unhideWhenUsed/>
    <w:qFormat/>
    <w:rsid w:val="00775BC3"/>
    <w:pPr>
      <w:keepNext/>
      <w:keepLines/>
      <w:numPr>
        <w:ilvl w:val="2"/>
        <w:numId w:val="1"/>
      </w:numPr>
      <w:spacing w:before="40" w:after="0" w:line="240" w:lineRule="auto"/>
      <w:jc w:val="both"/>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810D67"/>
    <w:pPr>
      <w:keepNext/>
      <w:keepLines/>
      <w:numPr>
        <w:ilvl w:val="3"/>
        <w:numId w:val="6"/>
      </w:numPr>
      <w:tabs>
        <w:tab w:val="left" w:pos="4320"/>
      </w:tabs>
      <w:spacing w:before="120" w:after="120" w:line="240" w:lineRule="auto"/>
      <w:jc w:val="both"/>
      <w:outlineLvl w:val="3"/>
    </w:pPr>
    <w:rPr>
      <w:rFonts w:eastAsiaTheme="majorEastAsia"/>
      <w:b/>
      <w:iCs/>
      <w:lang w:val="ka-GE"/>
    </w:rPr>
  </w:style>
  <w:style w:type="paragraph" w:styleId="Heading5">
    <w:name w:val="heading 5"/>
    <w:basedOn w:val="Normal"/>
    <w:next w:val="Normal"/>
    <w:link w:val="Heading5Char"/>
    <w:autoRedefine/>
    <w:uiPriority w:val="9"/>
    <w:unhideWhenUsed/>
    <w:qFormat/>
    <w:rsid w:val="00810D67"/>
    <w:pPr>
      <w:keepNext/>
      <w:keepLines/>
      <w:numPr>
        <w:ilvl w:val="4"/>
        <w:numId w:val="6"/>
      </w:numPr>
      <w:spacing w:before="120" w:after="120" w:line="240" w:lineRule="auto"/>
      <w:jc w:val="both"/>
      <w:outlineLvl w:val="4"/>
    </w:pPr>
    <w:rPr>
      <w:rFonts w:eastAsiaTheme="majorEastAsia"/>
      <w:b/>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D67"/>
    <w:rPr>
      <w:rFonts w:eastAsiaTheme="majorEastAsia"/>
      <w:b/>
      <w:lang w:val="ka-GE"/>
    </w:rPr>
  </w:style>
  <w:style w:type="character" w:customStyle="1" w:styleId="Heading2Char">
    <w:name w:val="Heading 2 Char"/>
    <w:basedOn w:val="DefaultParagraphFont"/>
    <w:link w:val="Heading2"/>
    <w:rsid w:val="00810D67"/>
    <w:rPr>
      <w:rFonts w:eastAsiaTheme="majorEastAsia"/>
      <w:b/>
      <w:szCs w:val="26"/>
      <w:lang w:val="ka-GE"/>
    </w:rPr>
  </w:style>
  <w:style w:type="character" w:customStyle="1" w:styleId="Heading3Char">
    <w:name w:val="Heading 3 Char"/>
    <w:basedOn w:val="DefaultParagraphFont"/>
    <w:link w:val="Heading3"/>
    <w:uiPriority w:val="9"/>
    <w:rsid w:val="00775BC3"/>
    <w:rPr>
      <w:rFonts w:eastAsiaTheme="majorEastAsia"/>
      <w:b/>
      <w:szCs w:val="24"/>
    </w:rPr>
  </w:style>
  <w:style w:type="character" w:customStyle="1" w:styleId="Heading4Char">
    <w:name w:val="Heading 4 Char"/>
    <w:basedOn w:val="DefaultParagraphFont"/>
    <w:link w:val="Heading4"/>
    <w:uiPriority w:val="9"/>
    <w:rsid w:val="00810D67"/>
    <w:rPr>
      <w:rFonts w:eastAsiaTheme="majorEastAsia"/>
      <w:b/>
      <w:iCs/>
      <w:lang w:val="ka-GE"/>
    </w:rPr>
  </w:style>
  <w:style w:type="character" w:customStyle="1" w:styleId="Heading5Char">
    <w:name w:val="Heading 5 Char"/>
    <w:basedOn w:val="DefaultParagraphFont"/>
    <w:link w:val="Heading5"/>
    <w:uiPriority w:val="9"/>
    <w:rsid w:val="00810D67"/>
    <w:rPr>
      <w:rFonts w:eastAsiaTheme="majorEastAsia"/>
      <w:b/>
      <w:lang w:val="ka-GE"/>
    </w:rPr>
  </w:style>
  <w:style w:type="paragraph" w:styleId="ListParagraph">
    <w:name w:val="List Paragraph"/>
    <w:basedOn w:val="Normal"/>
    <w:uiPriority w:val="34"/>
    <w:qFormat/>
    <w:rsid w:val="00B5450A"/>
    <w:pPr>
      <w:ind w:left="720"/>
      <w:contextualSpacing/>
    </w:pPr>
  </w:style>
  <w:style w:type="paragraph" w:styleId="Caption">
    <w:name w:val="caption"/>
    <w:basedOn w:val="Normal"/>
    <w:next w:val="Normal"/>
    <w:uiPriority w:val="35"/>
    <w:unhideWhenUsed/>
    <w:qFormat/>
    <w:rsid w:val="00CA628F"/>
    <w:pPr>
      <w:spacing w:after="200" w:line="240" w:lineRule="auto"/>
    </w:pPr>
    <w:rPr>
      <w:i/>
      <w:iCs/>
      <w:color w:val="44546A" w:themeColor="text2"/>
      <w:sz w:val="18"/>
      <w:szCs w:val="18"/>
    </w:rPr>
  </w:style>
  <w:style w:type="numbering" w:customStyle="1" w:styleId="Style31">
    <w:name w:val="Style31"/>
    <w:uiPriority w:val="99"/>
    <w:rsid w:val="008779B5"/>
  </w:style>
  <w:style w:type="paragraph" w:styleId="Header">
    <w:name w:val="header"/>
    <w:basedOn w:val="Normal"/>
    <w:link w:val="HeaderChar"/>
    <w:uiPriority w:val="99"/>
    <w:unhideWhenUsed/>
    <w:rsid w:val="00CF62F1"/>
    <w:pPr>
      <w:tabs>
        <w:tab w:val="center" w:pos="4677"/>
        <w:tab w:val="right" w:pos="9355"/>
      </w:tabs>
      <w:spacing w:after="0" w:line="240" w:lineRule="auto"/>
    </w:pPr>
  </w:style>
  <w:style w:type="character" w:customStyle="1" w:styleId="HeaderChar">
    <w:name w:val="Header Char"/>
    <w:basedOn w:val="DefaultParagraphFont"/>
    <w:link w:val="Header"/>
    <w:uiPriority w:val="99"/>
    <w:rsid w:val="00CF62F1"/>
  </w:style>
  <w:style w:type="paragraph" w:styleId="Footer">
    <w:name w:val="footer"/>
    <w:basedOn w:val="Normal"/>
    <w:link w:val="FooterChar"/>
    <w:uiPriority w:val="99"/>
    <w:unhideWhenUsed/>
    <w:rsid w:val="00CF62F1"/>
    <w:pPr>
      <w:tabs>
        <w:tab w:val="center" w:pos="4677"/>
        <w:tab w:val="right" w:pos="9355"/>
      </w:tabs>
      <w:spacing w:after="0" w:line="240" w:lineRule="auto"/>
    </w:pPr>
  </w:style>
  <w:style w:type="character" w:customStyle="1" w:styleId="FooterChar">
    <w:name w:val="Footer Char"/>
    <w:basedOn w:val="DefaultParagraphFont"/>
    <w:link w:val="Footer"/>
    <w:uiPriority w:val="99"/>
    <w:rsid w:val="00CF62F1"/>
  </w:style>
  <w:style w:type="paragraph" w:styleId="BalloonText">
    <w:name w:val="Balloon Text"/>
    <w:basedOn w:val="Normal"/>
    <w:link w:val="BalloonTextChar"/>
    <w:uiPriority w:val="99"/>
    <w:semiHidden/>
    <w:unhideWhenUsed/>
    <w:rsid w:val="00D93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D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cp:lastPrinted>2021-04-13T05:18:00Z</cp:lastPrinted>
  <dcterms:created xsi:type="dcterms:W3CDTF">2021-04-06T13:59:00Z</dcterms:created>
  <dcterms:modified xsi:type="dcterms:W3CDTF">2021-04-13T05:19:00Z</dcterms:modified>
</cp:coreProperties>
</file>