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CEF7" w14:textId="763D2554" w:rsidR="00861140" w:rsidRDefault="007C2F23" w:rsidP="00861140">
      <w:pPr>
        <w:shd w:val="clear" w:color="auto" w:fill="FFFFFF"/>
        <w:spacing w:before="100" w:beforeAutospacing="1" w:after="100" w:afterAutospacing="1"/>
        <w:jc w:val="center"/>
        <w:rPr>
          <w:rFonts w:cs="Arial"/>
          <w:b/>
          <w:color w:val="000000" w:themeColor="text1"/>
          <w:lang w:val="ka-GE"/>
        </w:rPr>
      </w:pPr>
      <w:r>
        <w:rPr>
          <w:rFonts w:cs="Arial"/>
          <w:b/>
          <w:color w:val="000000" w:themeColor="text1"/>
          <w:lang w:val="ka-GE"/>
        </w:rPr>
        <w:t xml:space="preserve">                                                                                                                                        </w:t>
      </w:r>
      <w:r w:rsidR="00FD5465">
        <w:rPr>
          <w:rFonts w:cs="Arial"/>
          <w:b/>
          <w:color w:val="000000" w:themeColor="text1"/>
          <w:lang w:val="ka-GE"/>
        </w:rPr>
        <w:t xml:space="preserve">   </w:t>
      </w:r>
      <w:r w:rsidR="00861140">
        <w:rPr>
          <w:rFonts w:cs="Arial"/>
          <w:b/>
          <w:color w:val="000000" w:themeColor="text1"/>
          <w:lang w:val="ka-GE"/>
        </w:rPr>
        <w:t>დან</w:t>
      </w:r>
      <w:r>
        <w:rPr>
          <w:rFonts w:cs="Arial"/>
          <w:b/>
          <w:color w:val="000000" w:themeColor="text1"/>
          <w:lang w:val="ka-GE"/>
        </w:rPr>
        <w:t>ა</w:t>
      </w:r>
      <w:r w:rsidR="00861140">
        <w:rPr>
          <w:rFonts w:cs="Arial"/>
          <w:b/>
          <w:color w:val="000000" w:themeColor="text1"/>
          <w:lang w:val="ka-GE"/>
        </w:rPr>
        <w:t xml:space="preserve">რთი </w:t>
      </w:r>
      <w:r w:rsidR="00FD5465">
        <w:rPr>
          <w:rFonts w:cs="Arial"/>
          <w:b/>
          <w:color w:val="000000" w:themeColor="text1"/>
          <w:lang w:val="ka-GE"/>
        </w:rPr>
        <w:t>№</w:t>
      </w:r>
      <w:r w:rsidR="00861140">
        <w:rPr>
          <w:rFonts w:cs="Arial"/>
          <w:b/>
          <w:color w:val="000000" w:themeColor="text1"/>
          <w:lang w:val="ka-GE"/>
        </w:rPr>
        <w:t>4</w:t>
      </w:r>
      <w:r>
        <w:rPr>
          <w:rFonts w:cs="Arial"/>
          <w:b/>
          <w:color w:val="000000" w:themeColor="text1"/>
          <w:lang w:val="ka-GE"/>
        </w:rPr>
        <w:t xml:space="preserve">   </w:t>
      </w:r>
    </w:p>
    <w:p w14:paraId="642306AB" w14:textId="08C8C965" w:rsidR="002975D6" w:rsidRPr="00F83BF7" w:rsidRDefault="00861140" w:rsidP="00F83BF7">
      <w:pPr>
        <w:shd w:val="clear" w:color="auto" w:fill="FFFFFF"/>
        <w:spacing w:before="100" w:beforeAutospacing="1" w:after="100" w:afterAutospacing="1"/>
        <w:jc w:val="center"/>
        <w:rPr>
          <w:rFonts w:cs="Arial"/>
          <w:b/>
          <w:color w:val="000000" w:themeColor="text1"/>
          <w:lang w:val="ka-GE"/>
        </w:rPr>
      </w:pPr>
      <w:r w:rsidRPr="00954E59">
        <w:rPr>
          <w:rFonts w:cs="Arial"/>
          <w:b/>
          <w:color w:val="000000" w:themeColor="text1"/>
          <w:lang w:val="ka-GE"/>
        </w:rPr>
        <w:t>საკომპენსაციო ღონისძიებები</w:t>
      </w:r>
    </w:p>
    <w:p w14:paraId="71AE0F73" w14:textId="027B5512" w:rsidR="002975D6" w:rsidRDefault="002975D6" w:rsidP="00861140">
      <w:pPr>
        <w:pStyle w:val="yiv6821262315ydp139edab1msonormal"/>
        <w:shd w:val="clear" w:color="auto" w:fill="FFFFFF"/>
        <w:spacing w:before="120" w:beforeAutospacing="0" w:after="120" w:afterAutospacing="0"/>
        <w:jc w:val="both"/>
        <w:rPr>
          <w:sz w:val="22"/>
          <w:szCs w:val="22"/>
          <w:lang w:val="ka-GE"/>
        </w:rPr>
      </w:pPr>
      <w:r w:rsidRPr="008E069A">
        <w:rPr>
          <w:rFonts w:ascii="Sylfaen" w:hAnsi="Sylfaen" w:cs="Sylfaen"/>
          <w:sz w:val="22"/>
          <w:szCs w:val="22"/>
          <w:lang w:val="ka-GE"/>
        </w:rPr>
        <w:t>ნავსადგურის შიდა აკვატორიაში და შემოსასვლელ არხში შესასრულებელი იქნება დიდი მოცულობის ფსკერდაღრმავების სამუშაოები</w:t>
      </w:r>
      <w:r w:rsidRPr="008E069A">
        <w:rPr>
          <w:sz w:val="22"/>
          <w:szCs w:val="22"/>
          <w:lang w:val="ka-GE"/>
        </w:rPr>
        <w:t xml:space="preserve">, </w:t>
      </w:r>
      <w:r w:rsidRPr="008E069A">
        <w:rPr>
          <w:rFonts w:ascii="Sylfaen" w:hAnsi="Sylfaen" w:cs="Sylfaen"/>
          <w:sz w:val="22"/>
          <w:szCs w:val="22"/>
          <w:lang w:val="ka-GE"/>
        </w:rPr>
        <w:t xml:space="preserve">რაც </w:t>
      </w:r>
      <w:r w:rsidRPr="008E069A">
        <w:rPr>
          <w:rFonts w:ascii="Sylfaen" w:hAnsi="Sylfaen"/>
          <w:sz w:val="22"/>
          <w:szCs w:val="22"/>
          <w:lang w:val="ka-GE"/>
        </w:rPr>
        <w:t xml:space="preserve">დაახლოებით </w:t>
      </w:r>
      <w:r w:rsidRPr="008E069A">
        <w:rPr>
          <w:sz w:val="22"/>
          <w:szCs w:val="22"/>
          <w:lang w:val="ka-GE"/>
        </w:rPr>
        <w:t xml:space="preserve">175-180 </w:t>
      </w:r>
      <w:r w:rsidRPr="008E069A">
        <w:rPr>
          <w:rFonts w:ascii="Sylfaen" w:hAnsi="Sylfaen" w:cs="Sylfaen"/>
          <w:sz w:val="22"/>
          <w:szCs w:val="22"/>
          <w:lang w:val="ka-GE"/>
        </w:rPr>
        <w:t>ჰა ზღვის ჰაბიტატზე მოახდენს გავლენას</w:t>
      </w:r>
      <w:r w:rsidRPr="008E069A">
        <w:rPr>
          <w:sz w:val="22"/>
          <w:szCs w:val="22"/>
          <w:lang w:val="ka-GE"/>
        </w:rPr>
        <w:t>.</w:t>
      </w:r>
    </w:p>
    <w:p w14:paraId="21D0D39E" w14:textId="0798C0C8" w:rsidR="002975D6" w:rsidRPr="008E069A" w:rsidRDefault="002975D6" w:rsidP="002975D6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r w:rsidRPr="008E069A">
        <w:rPr>
          <w:rFonts w:ascii="Sylfaen" w:hAnsi="Sylfaen" w:cs="Sylfaen"/>
          <w:sz w:val="22"/>
          <w:szCs w:val="22"/>
          <w:lang w:val="ka-GE"/>
        </w:rPr>
        <w:t xml:space="preserve">ფსკერდაღრმავების სამუშაოები  სამშენებლო გრაფიკით </w:t>
      </w:r>
      <w:r w:rsidRPr="008E069A">
        <w:rPr>
          <w:sz w:val="22"/>
          <w:szCs w:val="22"/>
        </w:rPr>
        <w:t>2.0-2.5</w:t>
      </w:r>
      <w:r w:rsidR="00F83BF7">
        <w:rPr>
          <w:sz w:val="22"/>
          <w:szCs w:val="22"/>
          <w:lang w:val="ka-GE"/>
        </w:rPr>
        <w:t xml:space="preserve"> </w:t>
      </w:r>
      <w:r w:rsidRPr="008E069A">
        <w:rPr>
          <w:rFonts w:ascii="Sylfaen" w:hAnsi="Sylfaen" w:cs="Sylfaen"/>
          <w:sz w:val="22"/>
          <w:szCs w:val="22"/>
          <w:lang w:val="ka-GE"/>
        </w:rPr>
        <w:t>წელი გარძლედება და რა თქმა უნდა</w:t>
      </w:r>
      <w:r w:rsidRPr="008E069A">
        <w:rPr>
          <w:rFonts w:ascii="Sylfaen" w:hAnsi="Sylfaen" w:cs="Sylfaen"/>
          <w:sz w:val="22"/>
          <w:szCs w:val="22"/>
        </w:rPr>
        <w:t>,</w:t>
      </w:r>
      <w:r w:rsidRPr="008E069A">
        <w:rPr>
          <w:rFonts w:ascii="Sylfaen" w:hAnsi="Sylfaen" w:cs="Sylfaen"/>
          <w:sz w:val="22"/>
          <w:szCs w:val="22"/>
          <w:lang w:val="ka-GE"/>
        </w:rPr>
        <w:t xml:space="preserve"> აღნიშნულ პროცესს ზეგავლენა ექნება მთელ საპროექტო ტერიტორიაზე. გამომდიონარე იმ ფაქტიდან</w:t>
      </w:r>
      <w:r w:rsidRPr="008E069A">
        <w:rPr>
          <w:rFonts w:ascii="Sylfaen" w:hAnsi="Sylfaen" w:cs="Sylfaen"/>
          <w:sz w:val="22"/>
          <w:szCs w:val="22"/>
        </w:rPr>
        <w:t>,</w:t>
      </w:r>
      <w:r w:rsidRPr="008E069A">
        <w:rPr>
          <w:rFonts w:ascii="Sylfaen" w:hAnsi="Sylfaen" w:cs="Sylfaen"/>
          <w:sz w:val="22"/>
          <w:szCs w:val="22"/>
          <w:lang w:val="ka-GE"/>
        </w:rPr>
        <w:t xml:space="preserve"> რომ ერთის მხრივ ფსკერდაღრმავების ტერიტორია დასილვის ზონაში მდებარეობს და მეორეს მხრივ, </w:t>
      </w:r>
      <w:proofErr w:type="spellStart"/>
      <w:r w:rsidRPr="008E069A">
        <w:rPr>
          <w:rFonts w:ascii="Sylfaen" w:hAnsi="Sylfaen" w:cs="Sylfaen"/>
          <w:sz w:val="22"/>
          <w:szCs w:val="22"/>
        </w:rPr>
        <w:t>აკვატორიაში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გემების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გაზრდილი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რაოდენობა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გააქტიურებს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ნატანის</w:t>
      </w:r>
      <w:proofErr w:type="spellEnd"/>
      <w:r w:rsidRPr="008E069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8E069A">
        <w:rPr>
          <w:rFonts w:ascii="Sylfaen" w:hAnsi="Sylfaen" w:cs="Sylfaen"/>
          <w:sz w:val="22"/>
          <w:szCs w:val="22"/>
        </w:rPr>
        <w:t>მოძრაობას</w:t>
      </w:r>
      <w:proofErr w:type="spellEnd"/>
      <w:r w:rsidR="00F83BF7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Pr="008E069A">
        <w:rPr>
          <w:rFonts w:ascii="Sylfaen" w:hAnsi="Sylfaen" w:cs="Sylfaen"/>
          <w:sz w:val="22"/>
          <w:szCs w:val="22"/>
          <w:lang w:val="ka-GE"/>
        </w:rPr>
        <w:t xml:space="preserve">გარკვეული პერიოდულობით აუცილებელი იქნება გეგმიური თუ არაგეგმიური ფსკერდაღრმავების სამუშაობის </w:t>
      </w:r>
      <w:r w:rsidRPr="008E069A">
        <w:rPr>
          <w:rFonts w:ascii="Sylfaen" w:hAnsi="Sylfaen"/>
          <w:sz w:val="22"/>
          <w:szCs w:val="22"/>
          <w:lang w:val="ka-GE"/>
        </w:rPr>
        <w:t xml:space="preserve">განხორციელება. </w:t>
      </w:r>
    </w:p>
    <w:p w14:paraId="507B35EE" w14:textId="3DA73187" w:rsidR="002975D6" w:rsidRDefault="002975D6" w:rsidP="00861140">
      <w:pPr>
        <w:pStyle w:val="yiv6821262315ydp139edab1msonormal"/>
        <w:shd w:val="clear" w:color="auto" w:fill="FFFFFF"/>
        <w:spacing w:before="120" w:beforeAutospacing="0" w:after="12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E069A">
        <w:rPr>
          <w:rFonts w:ascii="Sylfaen" w:hAnsi="Sylfaen" w:cs="Sylfaen"/>
          <w:sz w:val="22"/>
          <w:szCs w:val="22"/>
          <w:lang w:val="ka-GE"/>
        </w:rPr>
        <w:t>ფსკერდაღმავების სამუშაოების ჩატარების შემდეგ,</w:t>
      </w:r>
      <w:r w:rsidR="00F83BF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E069A">
        <w:rPr>
          <w:rFonts w:ascii="Sylfaen" w:hAnsi="Sylfaen" w:cs="Sylfaen"/>
          <w:sz w:val="22"/>
          <w:szCs w:val="22"/>
          <w:lang w:val="ka-GE"/>
        </w:rPr>
        <w:t>ბენთიკური</w:t>
      </w:r>
      <w:r w:rsidR="00F83BF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E069A">
        <w:rPr>
          <w:rFonts w:ascii="Sylfaen" w:hAnsi="Sylfaen" w:cs="Sylfaen"/>
          <w:sz w:val="22"/>
          <w:szCs w:val="22"/>
          <w:lang w:val="ka-GE"/>
        </w:rPr>
        <w:t>საზოგადოებების</w:t>
      </w:r>
      <w:r>
        <w:rPr>
          <w:rFonts w:ascii="Sylfaen" w:hAnsi="Sylfaen" w:cs="Sylfaen"/>
          <w:sz w:val="22"/>
          <w:szCs w:val="22"/>
        </w:rPr>
        <w:t xml:space="preserve"> </w:t>
      </w:r>
      <w:r w:rsidRPr="008E069A">
        <w:rPr>
          <w:rFonts w:ascii="Sylfaen" w:hAnsi="Sylfaen" w:cs="Sylfaen"/>
          <w:sz w:val="22"/>
          <w:szCs w:val="22"/>
          <w:lang w:val="ka-GE"/>
        </w:rPr>
        <w:t>აღდგენას</w:t>
      </w:r>
      <w:r w:rsidRPr="008E069A">
        <w:rPr>
          <w:sz w:val="22"/>
          <w:szCs w:val="22"/>
          <w:lang w:val="ka-GE"/>
        </w:rPr>
        <w:t xml:space="preserve"> 6-7</w:t>
      </w:r>
      <w:r w:rsidRPr="008E069A">
        <w:rPr>
          <w:rFonts w:ascii="Sylfaen" w:hAnsi="Sylfaen"/>
          <w:sz w:val="22"/>
          <w:szCs w:val="22"/>
          <w:lang w:val="ka-GE"/>
        </w:rPr>
        <w:t xml:space="preserve"> </w:t>
      </w:r>
      <w:r w:rsidRPr="008E069A">
        <w:rPr>
          <w:rFonts w:ascii="Sylfaen" w:hAnsi="Sylfaen" w:cs="Sylfaen"/>
          <w:sz w:val="22"/>
          <w:szCs w:val="22"/>
          <w:lang w:val="ka-GE"/>
        </w:rPr>
        <w:t>წელი სჭიდება</w:t>
      </w:r>
      <w:r w:rsidRPr="008E069A">
        <w:rPr>
          <w:sz w:val="22"/>
          <w:szCs w:val="22"/>
          <w:lang w:val="ka-GE"/>
        </w:rPr>
        <w:t>.</w:t>
      </w:r>
      <w:r w:rsidRPr="008E069A">
        <w:rPr>
          <w:rFonts w:ascii="Sylfaen" w:hAnsi="Sylfaen"/>
          <w:sz w:val="22"/>
          <w:szCs w:val="22"/>
          <w:lang w:val="ka-GE"/>
        </w:rPr>
        <w:t xml:space="preserve"> შესაბამისად, დიდი ალბათობით შეგვიძლია ვთქვათ, რომ ფსკერდაღმავების სამუშაოებს შორის პერიოდში, </w:t>
      </w:r>
      <w:r w:rsidRPr="008E069A">
        <w:rPr>
          <w:rFonts w:ascii="Sylfaen" w:hAnsi="Sylfaen" w:cs="Sylfaen"/>
          <w:sz w:val="22"/>
          <w:szCs w:val="22"/>
          <w:lang w:val="ka-GE"/>
        </w:rPr>
        <w:t>უხერხემლოების და წყალმცენარეების საზოგადოებები ბოლომდე აღდგენას ვერ მოასწრებს.</w:t>
      </w:r>
    </w:p>
    <w:p w14:paraId="1DA3768C" w14:textId="3E6CD985" w:rsidR="002975D6" w:rsidRDefault="002975D6" w:rsidP="00861140">
      <w:pPr>
        <w:pStyle w:val="yiv6821262315ydp139edab1msonormal"/>
        <w:shd w:val="clear" w:color="auto" w:fill="FFFFFF"/>
        <w:spacing w:before="120" w:beforeAutospacing="0" w:after="120" w:afterAutospacing="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სხვა მხრივ </w:t>
      </w:r>
      <w:proofErr w:type="spellStart"/>
      <w:r>
        <w:rPr>
          <w:rFonts w:ascii="Sylfaen" w:hAnsi="Sylfaen"/>
          <w:sz w:val="22"/>
          <w:szCs w:val="22"/>
        </w:rPr>
        <w:t>საქმიანობის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განხორციელების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შედეგად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მოსალოდნელი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არის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ბიომრავალფეროვნების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რომელიმე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ობიექტზე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შეუქცევადი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ზემოქმედება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საქმიანობის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განმახორციელებელი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კომპანიის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მიერ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შემოთავაზებულია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რამდენიმე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კომპონენტიანი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საკომპენსაციო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ღონისძიე</w:t>
      </w:r>
      <w:proofErr w:type="spellEnd"/>
      <w:r>
        <w:rPr>
          <w:rFonts w:ascii="Sylfaen" w:hAnsi="Sylfaen"/>
          <w:sz w:val="22"/>
          <w:szCs w:val="22"/>
          <w:lang w:val="ka-GE"/>
        </w:rPr>
        <w:t>ბა</w:t>
      </w:r>
      <w:r>
        <w:rPr>
          <w:rFonts w:ascii="Sylfaen" w:hAnsi="Sylfaen"/>
          <w:sz w:val="22"/>
          <w:szCs w:val="22"/>
        </w:rPr>
        <w:t>.</w:t>
      </w:r>
    </w:p>
    <w:p w14:paraId="6606F72B" w14:textId="4A9593DC" w:rsidR="002975D6" w:rsidRPr="002975D6" w:rsidRDefault="002975D6" w:rsidP="00861140">
      <w:pPr>
        <w:pStyle w:val="yiv6821262315ydp139edab1msonormal"/>
        <w:shd w:val="clear" w:color="auto" w:fill="FFFFFF"/>
        <w:spacing w:before="120" w:beforeAutospacing="0" w:after="12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ქვემოთ ჩამოთვლილი საკომპენსაციო ღონისძიებები შეთანხმებულია კოლხეთის ეროვნული პარკის დორექტორთან ბატონ დავით გრიგოლიას</w:t>
      </w:r>
      <w:r w:rsidR="00F83BF7">
        <w:rPr>
          <w:rFonts w:ascii="Sylfaen" w:hAnsi="Sylfaen"/>
          <w:sz w:val="22"/>
          <w:szCs w:val="22"/>
          <w:lang w:val="ka-GE"/>
        </w:rPr>
        <w:t>თ</w:t>
      </w:r>
      <w:r>
        <w:rPr>
          <w:rFonts w:ascii="Sylfaen" w:hAnsi="Sylfaen"/>
          <w:sz w:val="22"/>
          <w:szCs w:val="22"/>
          <w:lang w:val="ka-GE"/>
        </w:rPr>
        <w:t>ან.</w:t>
      </w:r>
    </w:p>
    <w:p w14:paraId="289E3A06" w14:textId="77777777" w:rsidR="002975D6" w:rsidRDefault="002975D6" w:rsidP="00861140">
      <w:pPr>
        <w:pStyle w:val="yiv6821262315ydp139edab1msonormal"/>
        <w:shd w:val="clear" w:color="auto" w:fill="FFFFFF"/>
        <w:spacing w:before="120" w:beforeAutospacing="0" w:after="120" w:afterAutospacing="0"/>
        <w:jc w:val="both"/>
        <w:rPr>
          <w:rFonts w:ascii="Sylfaen" w:hAnsi="Sylfaen"/>
          <w:sz w:val="22"/>
          <w:szCs w:val="22"/>
        </w:rPr>
      </w:pPr>
    </w:p>
    <w:p w14:paraId="2A6F50A3" w14:textId="3E2D5BC2" w:rsidR="002975D6" w:rsidRDefault="002975D6" w:rsidP="002975D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B4435">
        <w:rPr>
          <w:rFonts w:ascii="Sylfaen" w:hAnsi="Sylfaen"/>
          <w:lang w:val="ka-GE"/>
        </w:rPr>
        <w:t>ხობის მუნიციპალიტეტი</w:t>
      </w:r>
      <w:r>
        <w:rPr>
          <w:rFonts w:ascii="Sylfaen" w:hAnsi="Sylfaen"/>
          <w:lang w:val="ka-GE"/>
        </w:rPr>
        <w:t>ს ტერიტორიაზე არსებული ტბის „ფართო წყალი“</w:t>
      </w:r>
      <w:r w:rsidRPr="003B44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მოექყოს </w:t>
      </w:r>
      <w:r w:rsidRPr="003B4435">
        <w:rPr>
          <w:rFonts w:ascii="Sylfaen" w:hAnsi="Sylfaen"/>
          <w:lang w:val="ka-GE"/>
        </w:rPr>
        <w:t>ფრინველებზე დაკვირვების კოშკურა</w:t>
      </w:r>
      <w:r>
        <w:rPr>
          <w:rFonts w:ascii="Sylfaen" w:hAnsi="Sylfaen"/>
          <w:lang w:val="ka-GE"/>
        </w:rPr>
        <w:t xml:space="preserve">. </w:t>
      </w:r>
      <w:r w:rsidRPr="003B4435">
        <w:rPr>
          <w:rFonts w:ascii="Sylfaen" w:hAnsi="Sylfaen"/>
          <w:lang w:val="ka-GE"/>
        </w:rPr>
        <w:t xml:space="preserve"> კოორდინატები</w:t>
      </w:r>
      <w:r>
        <w:rPr>
          <w:rFonts w:ascii="Sylfaen" w:hAnsi="Sylfaen"/>
          <w:lang w:val="ka-GE"/>
        </w:rPr>
        <w:t>:</w:t>
      </w:r>
      <w:r w:rsidRPr="003B4435">
        <w:rPr>
          <w:rFonts w:ascii="Sylfaen" w:hAnsi="Sylfaen"/>
          <w:lang w:val="ka-GE"/>
        </w:rPr>
        <w:t xml:space="preserve"> 719378-4677144.</w:t>
      </w:r>
    </w:p>
    <w:p w14:paraId="6D25E609" w14:textId="26FF7785" w:rsidR="002975D6" w:rsidRPr="003B4435" w:rsidRDefault="002975D6" w:rsidP="002975D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სირათი 1.</w:t>
      </w:r>
    </w:p>
    <w:p w14:paraId="3B178194" w14:textId="67564B44" w:rsidR="00E13510" w:rsidRDefault="00E13510" w:rsidP="00E13510">
      <w:pPr>
        <w:jc w:val="center"/>
      </w:pPr>
      <w:r>
        <w:rPr>
          <w:noProof/>
        </w:rPr>
        <w:drawing>
          <wp:inline distT="0" distB="0" distL="0" distR="0" wp14:anchorId="078776D1" wp14:editId="70AB4FEE">
            <wp:extent cx="4409448" cy="2467155"/>
            <wp:effectExtent l="0" t="0" r="0" b="0"/>
            <wp:docPr id="6" name="Picture 2" descr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188" cy="24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26291" w14:textId="77777777" w:rsidR="00F83BF7" w:rsidRDefault="00F83BF7" w:rsidP="00E13510">
      <w:pPr>
        <w:jc w:val="center"/>
      </w:pPr>
    </w:p>
    <w:p w14:paraId="0FD2E4E8" w14:textId="559EE70A" w:rsidR="00E13510" w:rsidRDefault="00E13510" w:rsidP="00E135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4435">
        <w:rPr>
          <w:rFonts w:ascii="Sylfaen" w:hAnsi="Sylfaen"/>
          <w:lang w:val="ka-GE"/>
        </w:rPr>
        <w:t>ხობის მუნიციპალიტეტი</w:t>
      </w:r>
      <w:r>
        <w:rPr>
          <w:rFonts w:ascii="Sylfaen" w:hAnsi="Sylfaen"/>
          <w:lang w:val="ka-GE"/>
        </w:rPr>
        <w:t>ს ტერიტორიაზე მდინ</w:t>
      </w:r>
      <w:r w:rsidR="00F83BF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რე მუნჩიაზე დამონტაჟდეს ნარჩენების დამჭერი მოწყობილობა. </w:t>
      </w:r>
      <w:r w:rsidRPr="003B44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კოლხეთის ეროვნული პარკის დირექციის </w:t>
      </w:r>
      <w:r>
        <w:rPr>
          <w:rFonts w:ascii="Sylfaen" w:hAnsi="Sylfaen"/>
          <w:lang w:val="ka-GE"/>
        </w:rPr>
        <w:lastRenderedPageBreak/>
        <w:t>მიერ შემოთავაზებულიმ იქნა მათთვის ყველაზე მისაღები ტერიტორია ნარჩენების დამჭერი ბადის დასამონტაჟებლად (</w:t>
      </w:r>
      <w:r w:rsidRPr="003B4435">
        <w:rPr>
          <w:rFonts w:ascii="Sylfaen" w:hAnsi="Sylfaen"/>
          <w:lang w:val="ka-GE"/>
        </w:rPr>
        <w:t>კოორდინატი 723503-4687228</w:t>
      </w:r>
      <w:r>
        <w:rPr>
          <w:rFonts w:ascii="Sylfaen" w:hAnsi="Sylfaen"/>
          <w:lang w:val="ka-GE"/>
        </w:rPr>
        <w:t xml:space="preserve">) აღნიშნულ წერტილში მდონარე მუნჩიის </w:t>
      </w:r>
      <w:r w:rsidRPr="003B4435">
        <w:rPr>
          <w:rFonts w:ascii="Sylfaen" w:hAnsi="Sylfaen"/>
          <w:lang w:val="ka-GE"/>
        </w:rPr>
        <w:t xml:space="preserve"> სიგანე </w:t>
      </w:r>
      <w:r>
        <w:rPr>
          <w:rFonts w:ascii="Sylfaen" w:hAnsi="Sylfaen"/>
          <w:lang w:val="ka-GE"/>
        </w:rPr>
        <w:t xml:space="preserve">შეადგენს </w:t>
      </w:r>
      <w:r w:rsidRPr="003B4435">
        <w:rPr>
          <w:rFonts w:ascii="Sylfaen" w:hAnsi="Sylfaen"/>
          <w:lang w:val="ka-GE"/>
        </w:rPr>
        <w:t>30-მ.</w:t>
      </w:r>
      <w:r>
        <w:rPr>
          <w:rFonts w:ascii="Sylfaen" w:hAnsi="Sylfaen"/>
          <w:lang w:val="ka-GE"/>
        </w:rPr>
        <w:t xml:space="preserve"> სურათებზე 2 ნაჩვენებია ნარჩენების დამჭერი ბად</w:t>
      </w:r>
      <w:bookmarkStart w:id="0" w:name="_GoBack"/>
      <w:bookmarkEnd w:id="0"/>
      <w:r>
        <w:rPr>
          <w:rFonts w:ascii="Sylfaen" w:hAnsi="Sylfaen"/>
          <w:lang w:val="ka-GE"/>
        </w:rPr>
        <w:t>ის განთავსების შემოთავაზებული ადგილი. სურათი 3</w:t>
      </w:r>
    </w:p>
    <w:p w14:paraId="162ED125" w14:textId="77777777" w:rsidR="00E13510" w:rsidRDefault="00E13510" w:rsidP="00E13510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55"/>
        <w:gridCol w:w="4102"/>
      </w:tblGrid>
      <w:tr w:rsidR="00E13510" w14:paraId="24D70B71" w14:textId="77777777" w:rsidTr="00E13510">
        <w:tc>
          <w:tcPr>
            <w:tcW w:w="5198" w:type="dxa"/>
          </w:tcPr>
          <w:p w14:paraId="28A45F77" w14:textId="77777777" w:rsidR="00E13510" w:rsidRDefault="00E13510" w:rsidP="008B7C4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სურათი 2: ნარჩენების დამჭერი ბადის განთავსების წერტილი</w:t>
            </w:r>
          </w:p>
        </w:tc>
        <w:tc>
          <w:tcPr>
            <w:tcW w:w="3959" w:type="dxa"/>
          </w:tcPr>
          <w:p w14:paraId="44EF2123" w14:textId="77777777" w:rsidR="00E13510" w:rsidRDefault="00E13510" w:rsidP="008B7C4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სურათი 3: ნარჩენების დამჭერი ბადის განთავსების სქემატური ნახაზი</w:t>
            </w:r>
          </w:p>
        </w:tc>
      </w:tr>
      <w:tr w:rsidR="00E13510" w14:paraId="46034C00" w14:textId="77777777" w:rsidTr="00E13510">
        <w:tc>
          <w:tcPr>
            <w:tcW w:w="5198" w:type="dxa"/>
          </w:tcPr>
          <w:p w14:paraId="68DEABB7" w14:textId="77777777" w:rsidR="00E13510" w:rsidRDefault="00E13510" w:rsidP="008B7C40">
            <w:pPr>
              <w:jc w:val="both"/>
              <w:rPr>
                <w:lang w:val="ka-GE"/>
              </w:rPr>
            </w:pPr>
            <w:r>
              <w:rPr>
                <w:noProof/>
              </w:rPr>
              <w:drawing>
                <wp:inline distT="0" distB="0" distL="0" distR="0" wp14:anchorId="792C2E42" wp14:editId="7D018413">
                  <wp:extent cx="3180665" cy="1914525"/>
                  <wp:effectExtent l="0" t="0" r="0" b="3175"/>
                  <wp:docPr id="9" name="Picture 9" descr="C:\Users\Vladimer.Khurtsilava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ladimer.Khurtsilava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354" cy="193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</w:tcPr>
          <w:p w14:paraId="416E7820" w14:textId="77777777" w:rsidR="00E13510" w:rsidRDefault="00E13510" w:rsidP="008B7C40">
            <w:pPr>
              <w:jc w:val="both"/>
              <w:rPr>
                <w:lang w:val="ka-GE"/>
              </w:rPr>
            </w:pPr>
            <w:r w:rsidRPr="00474DD7">
              <w:rPr>
                <w:noProof/>
              </w:rPr>
              <w:drawing>
                <wp:inline distT="0" distB="0" distL="0" distR="0" wp14:anchorId="6AE5B3D6" wp14:editId="09310A7D">
                  <wp:extent cx="2553335" cy="1914917"/>
                  <wp:effectExtent l="0" t="0" r="0" b="9525"/>
                  <wp:docPr id="5" name="Picture 5" descr="D:\Vladimer.Khurtsilava\Downloads\211743818_218921960082509_29021905000140236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Vladimer.Khurtsilava\Downloads\211743818_218921960082509_29021905000140236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225" cy="192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33798" w14:textId="77777777" w:rsidR="002975D6" w:rsidRPr="00F83BF7" w:rsidRDefault="002975D6" w:rsidP="002975D6"/>
    <w:p w14:paraId="418CB1B4" w14:textId="2903906F" w:rsidR="002975D6" w:rsidRPr="00F83BF7" w:rsidRDefault="00F83BF7" w:rsidP="00F83BF7">
      <w:pPr>
        <w:pStyle w:val="ListParagraph"/>
        <w:numPr>
          <w:ilvl w:val="0"/>
          <w:numId w:val="1"/>
        </w:numPr>
        <w:adjustRightInd w:val="0"/>
        <w:jc w:val="both"/>
        <w:rPr>
          <w:rFonts w:ascii="Sylfaen" w:hAnsi="Sylfaen" w:cs="PH®»˛"/>
          <w:color w:val="365F92"/>
          <w:lang w:val="ka-GE"/>
        </w:rPr>
      </w:pPr>
      <w:proofErr w:type="spellStart"/>
      <w:r w:rsidRPr="00F83BF7">
        <w:rPr>
          <w:rFonts w:ascii="Sylfaen" w:hAnsi="Sylfaen" w:cs="Sylfaen"/>
        </w:rPr>
        <w:t>ჭაობების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ჰაბიტატებსა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და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სახეობათა</w:t>
      </w:r>
      <w:proofErr w:type="spellEnd"/>
      <w:r w:rsidRPr="00F83BF7">
        <w:rPr>
          <w:rFonts w:ascii="Sylfaen" w:hAnsi="Sylfaen" w:cs="PH®»˛"/>
          <w:lang w:val="ka-GE"/>
        </w:rPr>
        <w:t xml:space="preserve"> </w:t>
      </w:r>
      <w:proofErr w:type="spellStart"/>
      <w:r w:rsidRPr="00F83BF7">
        <w:rPr>
          <w:rFonts w:ascii="Sylfaen" w:hAnsi="Sylfaen" w:cs="Sylfaen"/>
        </w:rPr>
        <w:t>ბიომრავალფეროვნებაზე</w:t>
      </w:r>
      <w:proofErr w:type="spellEnd"/>
      <w:r w:rsidRPr="00F83BF7">
        <w:rPr>
          <w:rFonts w:ascii="Sylfaen" w:hAnsi="Sylfaen" w:cs="PH®»˛"/>
          <w:lang w:val="ka-GE"/>
        </w:rPr>
        <w:t xml:space="preserve"> </w:t>
      </w:r>
      <w:proofErr w:type="spellStart"/>
      <w:r w:rsidRPr="00F83BF7">
        <w:rPr>
          <w:rFonts w:ascii="Sylfaen" w:hAnsi="Sylfaen" w:cs="Sylfaen"/>
        </w:rPr>
        <w:t>მოქმედი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საფრთხეები</w:t>
      </w:r>
      <w:proofErr w:type="spellEnd"/>
      <w:r w:rsidRPr="00F83BF7">
        <w:rPr>
          <w:rFonts w:ascii="Sylfaen" w:hAnsi="Sylfaen" w:cs="Sylfaen"/>
          <w:lang w:val="ka-GE"/>
        </w:rPr>
        <w:t>დან</w:t>
      </w:r>
      <w:r w:rsidRPr="00F83BF7">
        <w:rPr>
          <w:rFonts w:ascii="Sylfaen" w:hAnsi="Sylfaen"/>
          <w:lang w:val="ka-GE"/>
        </w:rPr>
        <w:t xml:space="preserve"> </w:t>
      </w:r>
      <w:proofErr w:type="spellStart"/>
      <w:r w:rsidRPr="00F83BF7">
        <w:rPr>
          <w:rFonts w:ascii="Sylfaen" w:hAnsi="Sylfaen" w:cs="Sylfaen"/>
        </w:rPr>
        <w:t>ბრაკონიერობა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და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ნადირობა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განსაკუთრებული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საფრთხეა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ფრინველთა</w:t>
      </w:r>
      <w:proofErr w:type="spellEnd"/>
      <w:r w:rsidRPr="00F83BF7">
        <w:rPr>
          <w:rFonts w:ascii="Sylfaen" w:hAnsi="Sylfaen" w:cs="PH®»˛"/>
        </w:rPr>
        <w:t xml:space="preserve"> </w:t>
      </w:r>
      <w:proofErr w:type="spellStart"/>
      <w:r w:rsidRPr="00F83BF7">
        <w:rPr>
          <w:rFonts w:ascii="Sylfaen" w:hAnsi="Sylfaen" w:cs="Sylfaen"/>
        </w:rPr>
        <w:t>მიგრაციისას</w:t>
      </w:r>
      <w:proofErr w:type="spellEnd"/>
      <w:r w:rsidRPr="00F83BF7">
        <w:rPr>
          <w:rFonts w:ascii="Sylfaen" w:hAnsi="Sylfaen" w:cs="PH®»˛"/>
          <w:lang w:val="ka-GE"/>
        </w:rPr>
        <w:t xml:space="preserve">. </w:t>
      </w:r>
      <w:r w:rsidRPr="00F83BF7">
        <w:rPr>
          <w:rFonts w:ascii="Sylfaen" w:hAnsi="Sylfaen" w:cs="Sylfaen"/>
          <w:lang w:val="ka-GE"/>
        </w:rPr>
        <w:t>კოლხეთის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ეროვნული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პარკის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დირექციის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თხოვნით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განხორციელდება</w:t>
      </w:r>
      <w:r w:rsidRPr="00F83BF7">
        <w:rPr>
          <w:rFonts w:ascii="Sylfaen" w:hAnsi="Sylfaen" w:cs="PH®»˛"/>
          <w:lang w:val="ka-GE"/>
        </w:rPr>
        <w:t xml:space="preserve"> 10-15 </w:t>
      </w:r>
      <w:r w:rsidRPr="00F83BF7">
        <w:rPr>
          <w:rFonts w:ascii="Sylfaen" w:hAnsi="Sylfaen" w:cs="Sylfaen"/>
          <w:lang w:val="ka-GE"/>
        </w:rPr>
        <w:t>ერთეული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ფოტოხაფანგის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შეძენა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აღნი</w:t>
      </w:r>
      <w:r>
        <w:rPr>
          <w:rFonts w:ascii="Sylfaen" w:hAnsi="Sylfaen" w:cs="Sylfaen"/>
          <w:lang w:val="ka-GE"/>
        </w:rPr>
        <w:t>შ</w:t>
      </w:r>
      <w:r w:rsidRPr="00F83BF7">
        <w:rPr>
          <w:rFonts w:ascii="Sylfaen" w:hAnsi="Sylfaen" w:cs="Sylfaen"/>
          <w:lang w:val="ka-GE"/>
        </w:rPr>
        <w:t>ნულ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პრობლემასთან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ბრძოლის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გაძლიერების</w:t>
      </w:r>
      <w:r w:rsidRPr="00F83BF7">
        <w:rPr>
          <w:rFonts w:ascii="Sylfaen" w:hAnsi="Sylfaen" w:cs="PH®»˛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მიზნით</w:t>
      </w:r>
      <w:r w:rsidRPr="00F83BF7">
        <w:rPr>
          <w:rFonts w:ascii="Sylfaen" w:hAnsi="Sylfaen" w:cs="PH®»˛"/>
          <w:lang w:val="ka-GE"/>
        </w:rPr>
        <w:t xml:space="preserve">. </w:t>
      </w:r>
      <w:r w:rsidRPr="00F83BF7">
        <w:rPr>
          <w:rFonts w:ascii="Sylfaen" w:hAnsi="Sylfaen" w:cs="Sylfaen"/>
          <w:lang w:val="ka-GE"/>
        </w:rPr>
        <w:t>პარკის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ადმინსტრაციის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თხოვნით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გამომდინარე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ტერიტორიის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კლიმატური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პირობებიდან</w:t>
      </w:r>
      <w:r w:rsidRPr="00F83BF7">
        <w:rPr>
          <w:rFonts w:ascii="Sylfaen" w:hAnsi="Sylfaen"/>
          <w:lang w:val="ka-GE"/>
        </w:rPr>
        <w:t xml:space="preserve">  </w:t>
      </w:r>
      <w:r w:rsidRPr="00F83BF7">
        <w:rPr>
          <w:rFonts w:ascii="Sylfaen" w:hAnsi="Sylfaen" w:cs="Sylfaen"/>
          <w:lang w:val="ka-GE"/>
        </w:rPr>
        <w:t>ფოტოხაფანგები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უნდა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იყოს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მაღალი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ხარიახის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და</w:t>
      </w:r>
      <w:r w:rsidRPr="00F83BF7">
        <w:rPr>
          <w:rFonts w:ascii="Sylfaen" w:hAnsi="Sylfaen"/>
          <w:lang w:val="ka-GE"/>
        </w:rPr>
        <w:t xml:space="preserve"> </w:t>
      </w:r>
      <w:r w:rsidRPr="00F83BF7">
        <w:rPr>
          <w:rFonts w:ascii="Sylfaen" w:hAnsi="Sylfaen" w:cs="Sylfaen"/>
          <w:lang w:val="ka-GE"/>
        </w:rPr>
        <w:t>ნესტგამძლე</w:t>
      </w:r>
      <w:r w:rsidRPr="00F83BF7">
        <w:rPr>
          <w:rFonts w:ascii="Sylfaen" w:hAnsi="Sylfaen"/>
          <w:lang w:val="ka-GE"/>
        </w:rPr>
        <w:t xml:space="preserve">. </w:t>
      </w:r>
    </w:p>
    <w:p w14:paraId="0037895D" w14:textId="77777777" w:rsidR="00884C7E" w:rsidRDefault="00884C7E"/>
    <w:sectPr w:rsidR="00884C7E" w:rsidSect="007A3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F43A" w14:textId="77777777" w:rsidR="0031660E" w:rsidRDefault="0031660E" w:rsidP="00FD5465">
      <w:r>
        <w:separator/>
      </w:r>
    </w:p>
  </w:endnote>
  <w:endnote w:type="continuationSeparator" w:id="0">
    <w:p w14:paraId="1DC13F74" w14:textId="77777777" w:rsidR="0031660E" w:rsidRDefault="0031660E" w:rsidP="00FD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®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B28F" w14:textId="77777777" w:rsidR="00FD5465" w:rsidRDefault="00FD5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788C" w14:textId="11537749" w:rsidR="00FD5465" w:rsidRDefault="00FD54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13E836" wp14:editId="6174AC6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626d42d5802a109d193bc588" descr="{&quot;HashCode&quot;:-47060197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ED7046" w14:textId="4F9C4CB9" w:rsidR="00FD5465" w:rsidRPr="00FD5465" w:rsidRDefault="00FD5465" w:rsidP="00FD546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546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3E836" id="_x0000_t202" coordsize="21600,21600" o:spt="202" path="m,l,21600r21600,l21600,xe">
              <v:stroke joinstyle="miter"/>
              <v:path gradientshapeok="t" o:connecttype="rect"/>
            </v:shapetype>
            <v:shape id="MSIPCM626d42d5802a109d193bc588" o:spid="_x0000_s1026" type="#_x0000_t202" alt="{&quot;HashCode&quot;:-470601971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" o:allowincell="f" filled="f" stroked="f" strokeweight=".5pt">
              <v:textbox inset="20pt,0,,0">
                <w:txbxContent>
                  <w:p w14:paraId="0FED7046" w14:textId="4F9C4CB9" w:rsidR="00FD5465" w:rsidRPr="00FD5465" w:rsidRDefault="00FD5465" w:rsidP="00FD546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546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67AF" w14:textId="77777777" w:rsidR="00FD5465" w:rsidRDefault="00FD5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55D6" w14:textId="77777777" w:rsidR="0031660E" w:rsidRDefault="0031660E" w:rsidP="00FD5465">
      <w:r>
        <w:separator/>
      </w:r>
    </w:p>
  </w:footnote>
  <w:footnote w:type="continuationSeparator" w:id="0">
    <w:p w14:paraId="4C209DF0" w14:textId="77777777" w:rsidR="0031660E" w:rsidRDefault="0031660E" w:rsidP="00FD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8E9F" w14:textId="77777777" w:rsidR="00FD5465" w:rsidRDefault="00FD5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F869" w14:textId="77777777" w:rsidR="00FD5465" w:rsidRDefault="00FD5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CA697" w14:textId="77777777" w:rsidR="00FD5465" w:rsidRDefault="00FD5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A3A2B"/>
    <w:multiLevelType w:val="hybridMultilevel"/>
    <w:tmpl w:val="68DC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41589"/>
    <w:multiLevelType w:val="hybridMultilevel"/>
    <w:tmpl w:val="68DC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0"/>
    <w:rsid w:val="002975D6"/>
    <w:rsid w:val="0031660E"/>
    <w:rsid w:val="007A3555"/>
    <w:rsid w:val="007C2DEB"/>
    <w:rsid w:val="007C2F23"/>
    <w:rsid w:val="00861140"/>
    <w:rsid w:val="00884C7E"/>
    <w:rsid w:val="008F2495"/>
    <w:rsid w:val="00B405B9"/>
    <w:rsid w:val="00E13510"/>
    <w:rsid w:val="00F14DD0"/>
    <w:rsid w:val="00F83BF7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0C839"/>
  <w15:chartTrackingRefBased/>
  <w15:docId w15:val="{038E5CD6-05C5-9F4A-8F7E-89624BA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1140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21262315ydp139edab1msonormal">
    <w:name w:val="yiv6821262315ydp139edab1msonormal"/>
    <w:basedOn w:val="Normal"/>
    <w:rsid w:val="008611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D5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65"/>
    <w:rPr>
      <w:rFonts w:ascii="Sylfaen" w:eastAsia="Sylfaen" w:hAnsi="Sylfaen" w:cs="Sylfaen"/>
      <w:sz w:val="22"/>
      <w:szCs w:val="22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FD5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65"/>
    <w:rPr>
      <w:rFonts w:ascii="Sylfaen" w:eastAsia="Sylfaen" w:hAnsi="Sylfaen" w:cs="Sylfaen"/>
      <w:sz w:val="22"/>
      <w:szCs w:val="22"/>
      <w:lang w:val="it-IT" w:eastAsia="it-IT" w:bidi="it-IT"/>
    </w:rPr>
  </w:style>
  <w:style w:type="paragraph" w:styleId="CommentText">
    <w:name w:val="annotation text"/>
    <w:basedOn w:val="Normal"/>
    <w:link w:val="CommentTextChar"/>
    <w:uiPriority w:val="99"/>
    <w:unhideWhenUsed/>
    <w:rsid w:val="002975D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5D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75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ar-SA"/>
    </w:rPr>
  </w:style>
  <w:style w:type="table" w:styleId="TableGrid">
    <w:name w:val="Table Grid"/>
    <w:basedOn w:val="TableNormal"/>
    <w:uiPriority w:val="39"/>
    <w:rsid w:val="00E135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Kaviladze</dc:creator>
  <cp:keywords/>
  <dc:description/>
  <cp:lastModifiedBy>Microsoft Office User</cp:lastModifiedBy>
  <cp:revision>2</cp:revision>
  <dcterms:created xsi:type="dcterms:W3CDTF">2022-01-31T05:35:00Z</dcterms:created>
  <dcterms:modified xsi:type="dcterms:W3CDTF">2022-01-31T05:35:00Z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2021-10-04T11:58:33Z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a7b40409-8cf5-420c-b63c-3a1c0e04edae</vt:lpwstr>
  </property>
  <property fmtid="{D5CDD505-2E9C-101B-9397-08002B2CF9AE}" pid="8" name="MSIP_Label_71bba39d-4745-4e9d-97db-0c1927b54242_ContentBits">
    <vt:lpwstr>2</vt:lpwstr>
  </property>
</Properties>
</file>